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B92F" w14:textId="52A325A0" w:rsidR="00D1034D" w:rsidRPr="00B34D56" w:rsidRDefault="0012144B" w:rsidP="009A4972">
      <w:pPr>
        <w:rPr>
          <w:rFonts w:ascii="Gotham Medium" w:hAnsi="Gotham Medium"/>
          <w:color w:val="A6AAAD"/>
          <w:sz w:val="96"/>
          <w:szCs w:val="96"/>
          <w:lang w:val="fr-FR"/>
        </w:rPr>
      </w:pPr>
      <w:r w:rsidRPr="00E65F00">
        <w:rPr>
          <w:rFonts w:ascii="Gotham Medium" w:hAnsi="Gotham Medium"/>
          <w:color w:val="A6AAAD"/>
          <w:sz w:val="96"/>
          <w:szCs w:val="96"/>
          <w:lang w:val="fr-FR"/>
        </w:rPr>
        <w:t>COMMUNIQUÉ</w:t>
      </w:r>
    </w:p>
    <w:p w14:paraId="02BE441D" w14:textId="4CB9DA04" w:rsidR="009A4972" w:rsidRDefault="00B840B6" w:rsidP="009A4972">
      <w:pPr>
        <w:rPr>
          <w:rFonts w:ascii="Gotham Medium" w:eastAsia="Calibri" w:hAnsi="Gotham Medium" w:cs="Arial"/>
          <w:sz w:val="32"/>
          <w:szCs w:val="32"/>
          <w:lang w:val="fr-FR"/>
        </w:rPr>
      </w:pPr>
      <w:r w:rsidRPr="00B840B6">
        <w:rPr>
          <w:rFonts w:ascii="Gotham Medium" w:eastAsia="Calibri" w:hAnsi="Gotham Medium" w:cs="Arial"/>
          <w:sz w:val="32"/>
          <w:szCs w:val="32"/>
          <w:lang w:val="fr-FR"/>
        </w:rPr>
        <w:t xml:space="preserve">Le Directeur général Malick </w:t>
      </w:r>
      <w:r w:rsidR="00582B83" w:rsidRPr="00B840B6">
        <w:rPr>
          <w:rFonts w:ascii="Gotham Medium" w:eastAsia="Calibri" w:hAnsi="Gotham Medium" w:cs="Arial"/>
          <w:sz w:val="32"/>
          <w:szCs w:val="32"/>
          <w:lang w:val="fr-FR"/>
        </w:rPr>
        <w:t>N’</w:t>
      </w:r>
      <w:r w:rsidR="005959B0">
        <w:rPr>
          <w:rFonts w:ascii="Gotham Medium" w:eastAsia="Calibri" w:hAnsi="Gotham Medium" w:cs="Arial"/>
          <w:sz w:val="32"/>
          <w:szCs w:val="32"/>
          <w:lang w:val="fr-FR"/>
        </w:rPr>
        <w:t xml:space="preserve">Diaye </w:t>
      </w:r>
      <w:r w:rsidRPr="00B840B6">
        <w:rPr>
          <w:rFonts w:ascii="Gotham Medium" w:eastAsia="Calibri" w:hAnsi="Gotham Medium" w:cs="Arial"/>
          <w:sz w:val="32"/>
          <w:szCs w:val="32"/>
          <w:lang w:val="fr-FR"/>
        </w:rPr>
        <w:t>décide de quitter ses fonctions.</w:t>
      </w:r>
    </w:p>
    <w:p w14:paraId="30B26303" w14:textId="77777777" w:rsidR="00B840B6" w:rsidRPr="009A4972" w:rsidRDefault="00B840B6" w:rsidP="009A4972">
      <w:pPr>
        <w:rPr>
          <w:rFonts w:eastAsia="Calibri" w:cs="Arial"/>
          <w:lang w:val="fr-FR"/>
        </w:rPr>
      </w:pPr>
    </w:p>
    <w:p w14:paraId="19ABA6FB" w14:textId="298F9EB4" w:rsidR="009A4972" w:rsidRDefault="00B840B6" w:rsidP="009A4972">
      <w:pPr>
        <w:rPr>
          <w:rFonts w:eastAsia="Calibri" w:cs="Arial"/>
          <w:lang w:val="fr-FR"/>
        </w:rPr>
      </w:pPr>
      <w:r>
        <w:rPr>
          <w:rFonts w:eastAsia="Calibri" w:cs="Arial"/>
          <w:b/>
          <w:bCs/>
          <w:lang w:val="fr-FR"/>
        </w:rPr>
        <w:t>Kamsar</w:t>
      </w:r>
      <w:r w:rsidR="009A4972" w:rsidRPr="009A4972">
        <w:rPr>
          <w:rFonts w:eastAsia="Calibri" w:cs="Arial"/>
          <w:b/>
          <w:bCs/>
          <w:lang w:val="fr-FR"/>
        </w:rPr>
        <w:t xml:space="preserve">, le </w:t>
      </w:r>
      <w:r w:rsidR="00C14644">
        <w:rPr>
          <w:rFonts w:eastAsia="Calibri" w:cs="Arial"/>
          <w:b/>
          <w:bCs/>
          <w:lang w:val="fr-FR"/>
        </w:rPr>
        <w:t xml:space="preserve">15 </w:t>
      </w:r>
      <w:r>
        <w:rPr>
          <w:rFonts w:eastAsia="Calibri" w:cs="Arial"/>
          <w:b/>
          <w:bCs/>
          <w:lang w:val="fr-FR"/>
        </w:rPr>
        <w:t>avril</w:t>
      </w:r>
      <w:r w:rsidR="009A4972" w:rsidRPr="009A4972">
        <w:rPr>
          <w:rFonts w:eastAsia="Calibri" w:cs="Arial"/>
          <w:b/>
          <w:bCs/>
          <w:lang w:val="fr-FR"/>
        </w:rPr>
        <w:t xml:space="preserve"> 2022 :</w:t>
      </w:r>
      <w:r w:rsidR="009A4972" w:rsidRPr="009A4972">
        <w:rPr>
          <w:rFonts w:eastAsia="Calibri" w:cs="Arial"/>
          <w:lang w:val="fr-FR"/>
        </w:rPr>
        <w:t xml:space="preserve"> </w:t>
      </w:r>
      <w:r w:rsidRPr="00B840B6">
        <w:rPr>
          <w:rFonts w:eastAsia="Calibri" w:cs="Arial"/>
          <w:lang w:val="fr-FR"/>
        </w:rPr>
        <w:t>Guinea Alumina Corporation S.A. (GAC) a annoncé aujourd’hui</w:t>
      </w:r>
      <w:r>
        <w:rPr>
          <w:rFonts w:eastAsia="Calibri" w:cs="Arial"/>
          <w:lang w:val="fr-FR"/>
        </w:rPr>
        <w:t xml:space="preserve"> que </w:t>
      </w:r>
      <w:r w:rsidR="00EC21BC">
        <w:rPr>
          <w:rFonts w:eastAsia="Calibri" w:cs="Arial"/>
          <w:lang w:val="fr-FR"/>
        </w:rPr>
        <w:t>son</w:t>
      </w:r>
      <w:r>
        <w:rPr>
          <w:rFonts w:eastAsia="Calibri" w:cs="Arial"/>
          <w:lang w:val="fr-FR"/>
        </w:rPr>
        <w:t xml:space="preserve"> directeur général, Malick </w:t>
      </w:r>
      <w:r w:rsidR="00582B83">
        <w:rPr>
          <w:rFonts w:eastAsia="Calibri" w:cs="Arial"/>
          <w:lang w:val="fr-FR"/>
        </w:rPr>
        <w:t>N’</w:t>
      </w:r>
      <w:r w:rsidR="005959B0">
        <w:rPr>
          <w:rFonts w:eastAsia="Calibri" w:cs="Arial"/>
          <w:lang w:val="fr-FR"/>
        </w:rPr>
        <w:t>Diaye</w:t>
      </w:r>
      <w:r>
        <w:rPr>
          <w:rFonts w:eastAsia="Calibri" w:cs="Arial"/>
          <w:lang w:val="fr-FR"/>
        </w:rPr>
        <w:t>, a pris la décision de quitter ses fonctions à compter du 30 juin 202</w:t>
      </w:r>
      <w:r w:rsidR="00582B83">
        <w:rPr>
          <w:rFonts w:eastAsia="Calibri" w:cs="Arial"/>
          <w:lang w:val="fr-FR"/>
        </w:rPr>
        <w:t>2</w:t>
      </w:r>
      <w:r w:rsidR="00EC21BC">
        <w:rPr>
          <w:rFonts w:eastAsia="Calibri" w:cs="Arial"/>
          <w:lang w:val="fr-FR"/>
        </w:rPr>
        <w:t>.</w:t>
      </w:r>
      <w:r w:rsidR="00C47700">
        <w:rPr>
          <w:rFonts w:eastAsia="Calibri" w:cs="Arial"/>
          <w:lang w:val="fr-FR"/>
        </w:rPr>
        <w:t xml:space="preserve"> </w:t>
      </w:r>
      <w:r w:rsidR="00C47700" w:rsidRPr="00C47700">
        <w:rPr>
          <w:rFonts w:eastAsia="Calibri" w:cs="Arial"/>
          <w:lang w:val="fr-FR"/>
        </w:rPr>
        <w:t xml:space="preserve">La décision de </w:t>
      </w:r>
      <w:r w:rsidR="00C47700">
        <w:rPr>
          <w:rFonts w:eastAsia="Calibri" w:cs="Arial"/>
          <w:lang w:val="fr-FR"/>
        </w:rPr>
        <w:t>M. N’Diaye</w:t>
      </w:r>
      <w:r w:rsidR="00C47700" w:rsidRPr="00C47700">
        <w:rPr>
          <w:rFonts w:eastAsia="Calibri" w:cs="Arial"/>
          <w:lang w:val="fr-FR"/>
        </w:rPr>
        <w:t xml:space="preserve"> est motivée par le besoin de faire une pause, de réévaluer le poids du travail dans sa vie et par le désir de se lancer dans de nouvelles aventures.</w:t>
      </w:r>
    </w:p>
    <w:p w14:paraId="3855A9DA" w14:textId="4961D3EE" w:rsidR="00D1034D" w:rsidRDefault="00D1034D" w:rsidP="009A4972">
      <w:pPr>
        <w:rPr>
          <w:rFonts w:eastAsia="Calibri" w:cs="Arial"/>
          <w:lang w:val="fr-FR"/>
        </w:rPr>
      </w:pPr>
    </w:p>
    <w:p w14:paraId="68B5D144" w14:textId="7F28DF83" w:rsidR="00D1034D" w:rsidRPr="00D1034D" w:rsidRDefault="00D1034D" w:rsidP="00D1034D">
      <w:pPr>
        <w:rPr>
          <w:rFonts w:eastAsia="Calibri" w:cs="Arial"/>
          <w:lang w:val="fr-FR"/>
        </w:rPr>
      </w:pPr>
      <w:r w:rsidRPr="00D1034D">
        <w:rPr>
          <w:rFonts w:eastAsia="Calibri" w:cs="Arial"/>
          <w:lang w:val="fr-FR"/>
        </w:rPr>
        <w:t xml:space="preserve">Malick a rejoint GAC en 2014 en tant que directeur financier et a été promu directeur général adjoint et directeur des relations communautaires en 2019. En 2021, il a été nommé directeur général, chargé des relations gouvernementales, directeur du capital humain et des relations communautaires. Il supervisait également la </w:t>
      </w:r>
      <w:r w:rsidR="00C46E53" w:rsidRPr="00D1034D">
        <w:rPr>
          <w:rFonts w:eastAsia="Calibri" w:cs="Arial"/>
          <w:lang w:val="fr-FR"/>
        </w:rPr>
        <w:t>s</w:t>
      </w:r>
      <w:r w:rsidR="00C46E53">
        <w:rPr>
          <w:rFonts w:eastAsia="Calibri" w:cs="Arial"/>
          <w:lang w:val="fr-FR"/>
        </w:rPr>
        <w:t>ureté</w:t>
      </w:r>
      <w:r w:rsidRPr="00D1034D">
        <w:rPr>
          <w:rFonts w:eastAsia="Calibri" w:cs="Arial"/>
          <w:lang w:val="fr-FR"/>
        </w:rPr>
        <w:t xml:space="preserve"> des opérations.</w:t>
      </w:r>
      <w:r w:rsidR="00E27DD5">
        <w:rPr>
          <w:rFonts w:eastAsia="Calibri" w:cs="Arial"/>
          <w:lang w:val="fr-FR"/>
        </w:rPr>
        <w:t xml:space="preserve"> </w:t>
      </w:r>
    </w:p>
    <w:p w14:paraId="490C3318" w14:textId="0FED3309" w:rsidR="00D1034D" w:rsidRDefault="00D1034D" w:rsidP="009A4972">
      <w:pPr>
        <w:rPr>
          <w:rFonts w:eastAsia="Calibri" w:cs="Arial"/>
          <w:lang w:val="fr-FR"/>
        </w:rPr>
      </w:pPr>
    </w:p>
    <w:p w14:paraId="34FD1651" w14:textId="7960DB2D" w:rsidR="00E77165" w:rsidRDefault="00E27DD5" w:rsidP="009A4972">
      <w:pPr>
        <w:rPr>
          <w:rFonts w:eastAsia="Calibri" w:cs="Arial"/>
          <w:lang w:val="fr-FR"/>
        </w:rPr>
      </w:pPr>
      <w:r>
        <w:rPr>
          <w:rFonts w:eastAsia="Calibri" w:cs="Arial"/>
          <w:lang w:val="fr-FR"/>
        </w:rPr>
        <w:t>L</w:t>
      </w:r>
      <w:r w:rsidR="00D1034D" w:rsidRPr="00D1034D">
        <w:rPr>
          <w:rFonts w:eastAsia="Calibri" w:cs="Arial"/>
          <w:lang w:val="fr-FR"/>
        </w:rPr>
        <w:t>e président du conseil d’administration de GAC, Abdulla Kalban, a déclaré</w:t>
      </w:r>
      <w:r w:rsidR="00D1034D">
        <w:rPr>
          <w:rFonts w:eastAsia="Calibri" w:cs="Arial"/>
          <w:lang w:val="fr-FR"/>
        </w:rPr>
        <w:t> : « n</w:t>
      </w:r>
      <w:r w:rsidR="00D1034D" w:rsidRPr="00E27DD5">
        <w:rPr>
          <w:rFonts w:eastAsia="Calibri" w:cs="Arial"/>
          <w:lang w:val="fr-FR"/>
        </w:rPr>
        <w:t>ous sommes reconnaissants à Malick pour l'énergie, la vision et l'engagement dont il a fait preuve au sein de notre organisation ces huit dernières années</w:t>
      </w:r>
      <w:r w:rsidRPr="00E27DD5">
        <w:rPr>
          <w:rFonts w:eastAsia="Calibri" w:cs="Arial"/>
          <w:lang w:val="fr-FR"/>
        </w:rPr>
        <w:t xml:space="preserve">. Au nom de l’ensemble des employés et à mon nom personnel, je lui souhaite le meilleur dans tous ses projets futurs </w:t>
      </w:r>
      <w:r w:rsidR="00D1034D" w:rsidRPr="00E27DD5">
        <w:rPr>
          <w:rFonts w:eastAsia="Calibri" w:cs="Arial"/>
          <w:lang w:val="fr-FR"/>
        </w:rPr>
        <w:t xml:space="preserve">». </w:t>
      </w:r>
    </w:p>
    <w:p w14:paraId="6DA8A3B2" w14:textId="799CC811" w:rsidR="00A40AB7" w:rsidRDefault="00A40AB7" w:rsidP="009A4972">
      <w:pPr>
        <w:rPr>
          <w:rFonts w:eastAsia="Calibri" w:cs="Arial"/>
          <w:lang w:val="fr-FR"/>
        </w:rPr>
      </w:pPr>
    </w:p>
    <w:p w14:paraId="0EB41D4E" w14:textId="5BB8B999" w:rsidR="00A40AB7" w:rsidRDefault="00A40AB7" w:rsidP="009A4972">
      <w:pPr>
        <w:rPr>
          <w:rFonts w:eastAsia="Calibri" w:cs="Arial"/>
          <w:lang w:val="fr-FR"/>
        </w:rPr>
      </w:pPr>
      <w:r>
        <w:rPr>
          <w:rFonts w:eastAsia="Calibri" w:cs="Arial"/>
          <w:lang w:val="fr-FR"/>
        </w:rPr>
        <w:t xml:space="preserve">Le conseil d’administration de GAC devrait annoncer bientôt la nomination d’un nouveau directeur général ainsi que des changements organisationnels au sein de la direction de l’entreprise. </w:t>
      </w:r>
    </w:p>
    <w:p w14:paraId="19F1A8CD" w14:textId="2661F660" w:rsidR="00B34D56" w:rsidRDefault="00B34D56" w:rsidP="009A4972">
      <w:pPr>
        <w:rPr>
          <w:rFonts w:eastAsia="Calibri" w:cs="Arial"/>
          <w:lang w:val="fr-FR"/>
        </w:rPr>
      </w:pPr>
    </w:p>
    <w:p w14:paraId="43CC0F45" w14:textId="77777777" w:rsidR="00B34D56" w:rsidRPr="00092F28" w:rsidRDefault="00B34D56" w:rsidP="00B34D56">
      <w:pPr>
        <w:rPr>
          <w:rFonts w:eastAsia="Calibri" w:cs="Arial"/>
          <w:b/>
          <w:bCs/>
          <w:lang w:val="fr-FR"/>
        </w:rPr>
      </w:pPr>
      <w:r w:rsidRPr="00092F28">
        <w:rPr>
          <w:rFonts w:eastAsia="Calibri" w:cs="Arial"/>
          <w:b/>
          <w:bCs/>
          <w:lang w:val="fr-FR"/>
        </w:rPr>
        <w:t>À propos de GAC</w:t>
      </w:r>
    </w:p>
    <w:p w14:paraId="067298AC" w14:textId="77777777" w:rsidR="00B34D56" w:rsidRPr="00092F28" w:rsidRDefault="00B34D56" w:rsidP="00B34D56">
      <w:pPr>
        <w:rPr>
          <w:rFonts w:eastAsia="Calibri" w:cs="Arial"/>
          <w:lang w:val="fr-FR"/>
        </w:rPr>
      </w:pPr>
    </w:p>
    <w:p w14:paraId="7557A059" w14:textId="77777777" w:rsidR="00B34D56" w:rsidRDefault="00B34D56" w:rsidP="00B34D56">
      <w:pPr>
        <w:rPr>
          <w:rFonts w:eastAsia="Calibri" w:cs="Arial"/>
          <w:lang w:val="fr-FR"/>
        </w:rPr>
      </w:pPr>
      <w:r w:rsidRPr="006A1923">
        <w:rPr>
          <w:rFonts w:eastAsia="Calibri" w:cs="Arial"/>
          <w:lang w:val="fr-FR"/>
        </w:rPr>
        <w:t xml:space="preserve">Guinea Alumina Corporation est la filiale d’exploitation de bauxite d’Emirates Global Aluminium, le plus important producteur « d’aluminium de première qualité » au monde. </w:t>
      </w:r>
      <w:r w:rsidRPr="00C377AA">
        <w:rPr>
          <w:rFonts w:eastAsia="Calibri" w:cs="Arial"/>
          <w:lang w:val="fr-FR"/>
        </w:rPr>
        <w:t>Nous exploitons une concession minière de 690 km carrés située au nord-ouest de la Guinée. Dans la zone à développer d’ici à 2040, notre concession contient près de 400 millions de tonnes de ressources minérales en bauxite.</w:t>
      </w:r>
      <w:r>
        <w:rPr>
          <w:rFonts w:eastAsia="Calibri" w:cs="Arial"/>
          <w:lang w:val="fr-FR"/>
        </w:rPr>
        <w:t xml:space="preserve"> </w:t>
      </w:r>
      <w:r w:rsidRPr="00C377AA">
        <w:rPr>
          <w:rFonts w:eastAsia="Calibri" w:cs="Arial"/>
          <w:lang w:val="fr-FR"/>
        </w:rPr>
        <w:t>Une fois extrait, le minerai est transporté par chemin de fer vers les installations portuaires de la compagnie situées à Kamsar, sur la côte Atlantique de la Guinée. Il est ensuite expédié par voie maritime vers des clients du monde entier. Nos installations comprennent certains des plus gros équipements jamais installés dans un projet minier africain.</w:t>
      </w:r>
      <w:r>
        <w:rPr>
          <w:rFonts w:eastAsia="Calibri" w:cs="Arial"/>
          <w:lang w:val="fr-FR"/>
        </w:rPr>
        <w:t xml:space="preserve"> </w:t>
      </w:r>
      <w:r w:rsidRPr="00C377AA">
        <w:rPr>
          <w:rFonts w:eastAsia="Calibri" w:cs="Arial"/>
          <w:lang w:val="fr-FR"/>
        </w:rPr>
        <w:t>La République de Guinée, en Afrique de l’Ouest, est le plus grand producteur de bauxite au monde, avec plus d’un quart des réserves mondiales connues de ce minerai indispensable à la vie moderne.</w:t>
      </w:r>
      <w:r>
        <w:rPr>
          <w:rFonts w:eastAsia="Calibri" w:cs="Arial"/>
          <w:lang w:val="fr-FR"/>
        </w:rPr>
        <w:t xml:space="preserve"> </w:t>
      </w:r>
      <w:r w:rsidRPr="00C377AA">
        <w:rPr>
          <w:rFonts w:eastAsia="Calibri" w:cs="Arial"/>
          <w:lang w:val="fr-FR"/>
        </w:rPr>
        <w:t xml:space="preserve">La bauxite de GAC possède l’un des ratios les plus élevés d’alumine par rapport à la silice, ainsi qu’une quantité relativement faible de </w:t>
      </w:r>
      <w:proofErr w:type="spellStart"/>
      <w:r w:rsidRPr="00C377AA">
        <w:rPr>
          <w:rFonts w:eastAsia="Calibri" w:cs="Arial"/>
          <w:lang w:val="fr-FR"/>
        </w:rPr>
        <w:t>boehmite</w:t>
      </w:r>
      <w:proofErr w:type="spellEnd"/>
      <w:r w:rsidRPr="00C377AA">
        <w:rPr>
          <w:rFonts w:eastAsia="Calibri" w:cs="Arial"/>
          <w:lang w:val="fr-FR"/>
        </w:rPr>
        <w:t>. En raison de ces propriétés, il peut être traité dans une large gamme de conditions d’exploitation des raffineries, des basses aux hautes températures, ainsi que dans les raffineries à double digesti</w:t>
      </w:r>
      <w:bookmarkStart w:id="0" w:name="_GoBack"/>
      <w:bookmarkEnd w:id="0"/>
      <w:r w:rsidRPr="00C377AA">
        <w:rPr>
          <w:rFonts w:eastAsia="Calibri" w:cs="Arial"/>
          <w:lang w:val="fr-FR"/>
        </w:rPr>
        <w:t>on, à des coûts d’exploitation comparativement faibles.</w:t>
      </w:r>
    </w:p>
    <w:p w14:paraId="45D8581F" w14:textId="34D6CF4B" w:rsidR="00C377AA" w:rsidRPr="00092F28" w:rsidRDefault="00C377AA" w:rsidP="009A4972">
      <w:pPr>
        <w:rPr>
          <w:rFonts w:eastAsia="Calibri" w:cs="Arial"/>
          <w:lang w:val="fr-FR"/>
        </w:rPr>
      </w:pPr>
    </w:p>
    <w:p w14:paraId="07869AE8" w14:textId="77777777" w:rsidR="009A4972" w:rsidRPr="009A4972" w:rsidRDefault="009A4972" w:rsidP="009A4972">
      <w:pPr>
        <w:jc w:val="center"/>
        <w:rPr>
          <w:rFonts w:eastAsia="Calibri" w:cs="Arial"/>
          <w:lang w:val="fr-FR"/>
        </w:rPr>
      </w:pPr>
      <w:r w:rsidRPr="009A4972">
        <w:rPr>
          <w:rFonts w:eastAsia="Calibri" w:cs="Arial"/>
          <w:lang w:val="fr-FR"/>
        </w:rPr>
        <w:t>-30-</w:t>
      </w:r>
    </w:p>
    <w:p w14:paraId="51F16257" w14:textId="77777777" w:rsidR="009A4972" w:rsidRPr="009A4972" w:rsidRDefault="009A4972" w:rsidP="009A4972">
      <w:pPr>
        <w:rPr>
          <w:rFonts w:eastAsia="Calibri" w:cs="Arial"/>
          <w:lang w:val="fr-FR"/>
        </w:rPr>
      </w:pPr>
    </w:p>
    <w:p w14:paraId="042F53EF" w14:textId="77777777" w:rsidR="00141EB1" w:rsidRPr="00141EB1" w:rsidRDefault="00141EB1" w:rsidP="00141EB1">
      <w:pPr>
        <w:tabs>
          <w:tab w:val="left" w:pos="3402"/>
        </w:tabs>
        <w:rPr>
          <w:lang w:val="fr-FR"/>
        </w:rPr>
      </w:pPr>
      <w:r w:rsidRPr="006D3D14">
        <w:rPr>
          <w:b/>
          <w:bCs/>
          <w:lang w:val="fr-FR"/>
        </w:rPr>
        <w:t>Renseignements :</w:t>
      </w:r>
      <w:r w:rsidRPr="00141EB1">
        <w:rPr>
          <w:lang w:val="fr-FR"/>
        </w:rPr>
        <w:tab/>
        <w:t>Abdourahamane Diallo</w:t>
      </w:r>
    </w:p>
    <w:p w14:paraId="41C1FBA6" w14:textId="7BCA4977" w:rsidR="00141EB1" w:rsidRPr="00141EB1" w:rsidRDefault="00141EB1" w:rsidP="7ADD40F7">
      <w:pPr>
        <w:tabs>
          <w:tab w:val="left" w:pos="3402"/>
        </w:tabs>
        <w:rPr>
          <w:lang w:val="fr-FR"/>
        </w:rPr>
      </w:pPr>
      <w:r w:rsidRPr="00141EB1">
        <w:rPr>
          <w:lang w:val="fr-FR"/>
        </w:rPr>
        <w:tab/>
        <w:t>S</w:t>
      </w:r>
      <w:r w:rsidR="0F7E65B2" w:rsidRPr="00141EB1">
        <w:rPr>
          <w:lang w:val="fr-FR"/>
        </w:rPr>
        <w:t xml:space="preserve">urintendant, </w:t>
      </w:r>
      <w:r w:rsidRPr="00141EB1">
        <w:rPr>
          <w:lang w:val="fr-FR"/>
        </w:rPr>
        <w:t>Communications externes</w:t>
      </w:r>
    </w:p>
    <w:p w14:paraId="013EFE5C" w14:textId="0F8E4C3E" w:rsidR="00A40AB7" w:rsidRDefault="00141EB1" w:rsidP="00141EB1">
      <w:pPr>
        <w:tabs>
          <w:tab w:val="left" w:pos="3402"/>
        </w:tabs>
        <w:rPr>
          <w:lang w:val="fr-FR"/>
        </w:rPr>
      </w:pPr>
      <w:r w:rsidRPr="00141EB1">
        <w:rPr>
          <w:lang w:val="fr-FR"/>
        </w:rPr>
        <w:tab/>
      </w:r>
      <w:r w:rsidRPr="00141EB1">
        <w:rPr>
          <w:b/>
          <w:lang w:val="fr-FR"/>
        </w:rPr>
        <w:t>T</w:t>
      </w:r>
      <w:r w:rsidRPr="00141EB1">
        <w:rPr>
          <w:lang w:val="fr-FR"/>
        </w:rPr>
        <w:t xml:space="preserve"> +224 628 15 58 87</w:t>
      </w:r>
    </w:p>
    <w:sectPr w:rsidR="00A40AB7" w:rsidSect="00DA1109">
      <w:headerReference w:type="default" r:id="rId9"/>
      <w:footerReference w:type="default" r:id="rId10"/>
      <w:headerReference w:type="first" r:id="rId11"/>
      <w:footerReference w:type="first" r:id="rId12"/>
      <w:type w:val="continuous"/>
      <w:pgSz w:w="11906" w:h="16838" w:code="9"/>
      <w:pgMar w:top="1440" w:right="1440" w:bottom="680" w:left="1440" w:header="720"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3D50" w14:textId="77777777" w:rsidR="00F6143E" w:rsidRDefault="00F6143E" w:rsidP="00F06715">
      <w:r>
        <w:separator/>
      </w:r>
    </w:p>
  </w:endnote>
  <w:endnote w:type="continuationSeparator" w:id="0">
    <w:p w14:paraId="48F9E41B" w14:textId="77777777" w:rsidR="00F6143E" w:rsidRDefault="00F6143E" w:rsidP="00F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3516475"/>
      <w:docPartObj>
        <w:docPartGallery w:val="Page Numbers (Bottom of Page)"/>
        <w:docPartUnique/>
      </w:docPartObj>
    </w:sdtPr>
    <w:sdtEndPr/>
    <w:sdtContent>
      <w:sdt>
        <w:sdtPr>
          <w:rPr>
            <w:lang w:val="fr-FR"/>
          </w:rPr>
          <w:id w:val="-1769616900"/>
          <w:docPartObj>
            <w:docPartGallery w:val="Page Numbers (Top of Page)"/>
            <w:docPartUnique/>
          </w:docPartObj>
        </w:sdtPr>
        <w:sdtEndPr/>
        <w:sdtContent>
          <w:p w14:paraId="59326C64" w14:textId="77777777" w:rsidR="00F077EA" w:rsidRPr="00164EDD" w:rsidRDefault="00F077EA">
            <w:pPr>
              <w:pStyle w:val="Pieddepage"/>
              <w:jc w:val="right"/>
              <w:rPr>
                <w:lang w:val="fr-FR"/>
              </w:rPr>
            </w:pPr>
            <w:r w:rsidRPr="00164EDD">
              <w:rPr>
                <w:sz w:val="16"/>
                <w:szCs w:val="16"/>
                <w:lang w:val="fr-FR"/>
              </w:rPr>
              <w:t xml:space="preserve">Page </w:t>
            </w:r>
            <w:r w:rsidRPr="00164EDD">
              <w:rPr>
                <w:bCs/>
                <w:sz w:val="16"/>
                <w:szCs w:val="16"/>
                <w:lang w:val="fr-FR"/>
              </w:rPr>
              <w:fldChar w:fldCharType="begin"/>
            </w:r>
            <w:r w:rsidRPr="00164EDD">
              <w:rPr>
                <w:bCs/>
                <w:sz w:val="16"/>
                <w:szCs w:val="16"/>
                <w:lang w:val="fr-FR"/>
              </w:rPr>
              <w:instrText xml:space="preserve"> PAGE </w:instrText>
            </w:r>
            <w:r w:rsidRPr="00164EDD">
              <w:rPr>
                <w:bCs/>
                <w:sz w:val="16"/>
                <w:szCs w:val="16"/>
                <w:lang w:val="fr-FR"/>
              </w:rPr>
              <w:fldChar w:fldCharType="separate"/>
            </w:r>
            <w:r w:rsidRPr="00164EDD">
              <w:rPr>
                <w:bCs/>
                <w:sz w:val="16"/>
                <w:szCs w:val="16"/>
                <w:lang w:val="fr-FR"/>
              </w:rPr>
              <w:t>2</w:t>
            </w:r>
            <w:r w:rsidRPr="00164EDD">
              <w:rPr>
                <w:bCs/>
                <w:sz w:val="16"/>
                <w:szCs w:val="16"/>
                <w:lang w:val="fr-FR"/>
              </w:rPr>
              <w:fldChar w:fldCharType="end"/>
            </w:r>
            <w:r w:rsidRPr="00164EDD">
              <w:rPr>
                <w:sz w:val="16"/>
                <w:szCs w:val="16"/>
                <w:lang w:val="fr-FR"/>
              </w:rPr>
              <w:t xml:space="preserve"> </w:t>
            </w:r>
            <w:r w:rsidR="008855C3" w:rsidRPr="00164EDD">
              <w:rPr>
                <w:sz w:val="16"/>
                <w:szCs w:val="16"/>
                <w:lang w:val="fr-FR"/>
              </w:rPr>
              <w:t>de</w:t>
            </w:r>
            <w:r w:rsidRPr="00164EDD">
              <w:rPr>
                <w:sz w:val="16"/>
                <w:szCs w:val="16"/>
                <w:lang w:val="fr-FR"/>
              </w:rPr>
              <w:t xml:space="preserve"> </w:t>
            </w:r>
            <w:r w:rsidRPr="00164EDD">
              <w:rPr>
                <w:bCs/>
                <w:sz w:val="16"/>
                <w:szCs w:val="16"/>
                <w:lang w:val="fr-FR"/>
              </w:rPr>
              <w:fldChar w:fldCharType="begin"/>
            </w:r>
            <w:r w:rsidRPr="00164EDD">
              <w:rPr>
                <w:bCs/>
                <w:sz w:val="16"/>
                <w:szCs w:val="16"/>
                <w:lang w:val="fr-FR"/>
              </w:rPr>
              <w:instrText xml:space="preserve"> NUMPAGES  </w:instrText>
            </w:r>
            <w:r w:rsidRPr="00164EDD">
              <w:rPr>
                <w:bCs/>
                <w:sz w:val="16"/>
                <w:szCs w:val="16"/>
                <w:lang w:val="fr-FR"/>
              </w:rPr>
              <w:fldChar w:fldCharType="separate"/>
            </w:r>
            <w:r w:rsidRPr="00164EDD">
              <w:rPr>
                <w:bCs/>
                <w:sz w:val="16"/>
                <w:szCs w:val="16"/>
                <w:lang w:val="fr-FR"/>
              </w:rPr>
              <w:t>2</w:t>
            </w:r>
            <w:r w:rsidRPr="00164EDD">
              <w:rPr>
                <w:bCs/>
                <w:sz w:val="16"/>
                <w:szCs w:val="16"/>
                <w:lang w:val="fr-FR"/>
              </w:rPr>
              <w:fldChar w:fldCharType="end"/>
            </w:r>
          </w:p>
        </w:sdtContent>
      </w:sdt>
    </w:sdtContent>
  </w:sdt>
  <w:p w14:paraId="3CF2D8B6" w14:textId="77777777" w:rsidR="00F077EA" w:rsidRPr="008855C3" w:rsidRDefault="00F077EA">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8855C3" w:rsidRDefault="008855C3" w:rsidP="009B7FC0">
    <w:pPr>
      <w:pStyle w:val="Pieddepage"/>
      <w:jc w:val="center"/>
      <w:rPr>
        <w:noProof/>
      </w:rPr>
    </w:pPr>
  </w:p>
  <w:p w14:paraId="45FB0818" w14:textId="77777777" w:rsidR="0014413E" w:rsidRDefault="0014413E" w:rsidP="009B7FC0">
    <w:pPr>
      <w:pStyle w:val="Pieddepage"/>
      <w:jc w:val="center"/>
    </w:pPr>
  </w:p>
  <w:p w14:paraId="049F31CB" w14:textId="77777777" w:rsidR="0014413E" w:rsidRDefault="0014413E" w:rsidP="009B7FC0">
    <w:pPr>
      <w:pStyle w:val="Pieddepage"/>
      <w:jc w:val="center"/>
    </w:pPr>
  </w:p>
  <w:p w14:paraId="3B455DFA" w14:textId="77777777" w:rsidR="009B7FC0" w:rsidRPr="0014413E" w:rsidRDefault="14FAE58E" w:rsidP="0014413E">
    <w:pPr>
      <w:pStyle w:val="Pieddepage"/>
      <w:jc w:val="left"/>
      <w:rPr>
        <w:sz w:val="14"/>
        <w:szCs w:val="14"/>
      </w:rPr>
    </w:pPr>
    <w:r w:rsidRPr="0014413E">
      <w:rPr>
        <w:sz w:val="14"/>
        <w:szCs w:val="14"/>
      </w:rPr>
      <w:t>REV.20190610</w:t>
    </w:r>
    <w:r w:rsidR="008855C3" w:rsidRPr="0014413E">
      <w:rPr>
        <w:noProof/>
        <w:sz w:val="14"/>
        <w:szCs w:val="14"/>
      </w:rPr>
      <w:drawing>
        <wp:anchor distT="0" distB="0" distL="114300" distR="114300" simplePos="0" relativeHeight="251675648" behindDoc="0" locked="0" layoutInCell="1" allowOverlap="1" wp14:anchorId="1B36AFAC" wp14:editId="07777777">
          <wp:simplePos x="0" y="0"/>
          <wp:positionH relativeFrom="column">
            <wp:posOffset>1190625</wp:posOffset>
          </wp:positionH>
          <wp:positionV relativeFrom="paragraph">
            <wp:posOffset>-374650</wp:posOffset>
          </wp:positionV>
          <wp:extent cx="3353968" cy="516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nch_GAC-Addres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3968" cy="516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DF51" w14:textId="77777777" w:rsidR="00F6143E" w:rsidRDefault="00F6143E" w:rsidP="00F06715">
      <w:r>
        <w:separator/>
      </w:r>
    </w:p>
  </w:footnote>
  <w:footnote w:type="continuationSeparator" w:id="0">
    <w:p w14:paraId="3ABCAC55" w14:textId="77777777" w:rsidR="00F6143E" w:rsidRDefault="00F6143E" w:rsidP="00F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AA34" w14:textId="1AEC007E" w:rsidR="005B1752" w:rsidRDefault="008855C3" w:rsidP="00F06715">
    <w:pPr>
      <w:pStyle w:val="En-tte"/>
    </w:pPr>
    <w:r>
      <w:rPr>
        <w:noProof/>
        <w:lang w:val="fr-FR"/>
      </w:rPr>
      <w:drawing>
        <wp:anchor distT="0" distB="0" distL="114300" distR="114300" simplePos="0" relativeHeight="251674624" behindDoc="0" locked="0" layoutInCell="1" allowOverlap="1" wp14:anchorId="6C03B840" wp14:editId="6ADBB1DF">
          <wp:simplePos x="0" y="0"/>
          <wp:positionH relativeFrom="column">
            <wp:posOffset>-36195</wp:posOffset>
          </wp:positionH>
          <wp:positionV relativeFrom="paragraph">
            <wp:posOffset>13005</wp:posOffset>
          </wp:positionV>
          <wp:extent cx="1924050" cy="577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Logo_French_CMYK.jpg"/>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1799" t="33721" r="11256" b="33501"/>
                  <a:stretch/>
                </pic:blipFill>
                <pic:spPr bwMode="auto">
                  <a:xfrm>
                    <a:off x="0" y="0"/>
                    <a:ext cx="192405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78278" w14:textId="77777777" w:rsidR="005B1752" w:rsidRDefault="005B1752" w:rsidP="00F06715">
    <w:pPr>
      <w:pStyle w:val="En-tte"/>
    </w:pPr>
  </w:p>
  <w:p w14:paraId="1FC39945" w14:textId="77777777" w:rsidR="00B66F51" w:rsidRDefault="00B66F51" w:rsidP="00F06715">
    <w:pPr>
      <w:pStyle w:val="En-tte"/>
    </w:pPr>
  </w:p>
  <w:p w14:paraId="0562CB0E" w14:textId="77777777" w:rsidR="00B66F51" w:rsidRDefault="00B66F51" w:rsidP="00F06715">
    <w:pPr>
      <w:pStyle w:val="En-tte"/>
    </w:pPr>
  </w:p>
  <w:p w14:paraId="34CE0A41" w14:textId="77777777" w:rsidR="00B66F51" w:rsidRDefault="00B66F51" w:rsidP="00F06715">
    <w:pPr>
      <w:pStyle w:val="En-tte"/>
    </w:pPr>
  </w:p>
  <w:p w14:paraId="62EBF3C5" w14:textId="4F81096F" w:rsidR="005B1752" w:rsidRDefault="005B1752" w:rsidP="00F06715">
    <w:pPr>
      <w:pStyle w:val="En-tte"/>
    </w:pPr>
  </w:p>
  <w:p w14:paraId="2453D6F8" w14:textId="77777777" w:rsidR="00C377AA" w:rsidRDefault="00C377AA" w:rsidP="00F067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553" w14:textId="79ECD023" w:rsidR="00DB6F2D" w:rsidRDefault="008855C3" w:rsidP="00F06715">
    <w:pPr>
      <w:pStyle w:val="En-tte"/>
    </w:pPr>
    <w:r>
      <w:rPr>
        <w:noProof/>
        <w:lang w:val="fr-FR"/>
      </w:rPr>
      <w:drawing>
        <wp:anchor distT="0" distB="0" distL="114300" distR="114300" simplePos="0" relativeHeight="251672576" behindDoc="0" locked="0" layoutInCell="1" allowOverlap="1" wp14:anchorId="768F5E06" wp14:editId="0CF9BB70">
          <wp:simplePos x="0" y="0"/>
          <wp:positionH relativeFrom="column">
            <wp:posOffset>0</wp:posOffset>
          </wp:positionH>
          <wp:positionV relativeFrom="paragraph">
            <wp:posOffset>16840</wp:posOffset>
          </wp:positionV>
          <wp:extent cx="1924050" cy="577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Logo_French_CMYK.jpg"/>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1799" t="33721" r="11256" b="33501"/>
                  <a:stretch/>
                </pic:blipFill>
                <pic:spPr bwMode="auto">
                  <a:xfrm>
                    <a:off x="0" y="0"/>
                    <a:ext cx="192405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1652C" w14:textId="77777777" w:rsidR="00DB6F2D" w:rsidRDefault="00DB6F2D" w:rsidP="00F06715">
    <w:pPr>
      <w:pStyle w:val="En-tte"/>
    </w:pPr>
  </w:p>
  <w:p w14:paraId="4B99056E" w14:textId="77777777" w:rsidR="00DB6F2D" w:rsidRDefault="00DB6F2D" w:rsidP="00F06715">
    <w:pPr>
      <w:pStyle w:val="En-tte"/>
    </w:pPr>
  </w:p>
  <w:p w14:paraId="1299C43A" w14:textId="77777777" w:rsidR="00DB6F2D" w:rsidRDefault="00DB6F2D" w:rsidP="006360A4">
    <w:pPr>
      <w:pStyle w:val="En-tte"/>
      <w:tabs>
        <w:tab w:val="clear" w:pos="4680"/>
        <w:tab w:val="clear" w:pos="9360"/>
        <w:tab w:val="left" w:pos="3555"/>
      </w:tabs>
    </w:pPr>
  </w:p>
  <w:p w14:paraId="4DDBEF00" w14:textId="0F156DCD" w:rsidR="006360A4" w:rsidRDefault="006360A4" w:rsidP="006360A4">
    <w:pPr>
      <w:pStyle w:val="En-tte"/>
      <w:tabs>
        <w:tab w:val="clear" w:pos="4680"/>
        <w:tab w:val="clear" w:pos="9360"/>
        <w:tab w:val="left" w:pos="3555"/>
      </w:tabs>
    </w:pPr>
  </w:p>
  <w:p w14:paraId="44220972" w14:textId="77777777" w:rsidR="00C377AA" w:rsidRDefault="00C377AA" w:rsidP="006360A4">
    <w:pPr>
      <w:pStyle w:val="En-tte"/>
      <w:tabs>
        <w:tab w:val="clear" w:pos="4680"/>
        <w:tab w:val="clear" w:pos="9360"/>
        <w:tab w:val="left" w:pos="3555"/>
      </w:tabs>
    </w:pPr>
  </w:p>
  <w:p w14:paraId="3461D779" w14:textId="77777777" w:rsidR="00B66F51" w:rsidRDefault="00B66F51" w:rsidP="00F067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4B"/>
    <w:rsid w:val="0000710D"/>
    <w:rsid w:val="00077E2F"/>
    <w:rsid w:val="00085F22"/>
    <w:rsid w:val="00092F28"/>
    <w:rsid w:val="0010796C"/>
    <w:rsid w:val="001168F5"/>
    <w:rsid w:val="0012144B"/>
    <w:rsid w:val="00125422"/>
    <w:rsid w:val="00141EB1"/>
    <w:rsid w:val="0014413E"/>
    <w:rsid w:val="00164EDD"/>
    <w:rsid w:val="0017095B"/>
    <w:rsid w:val="0017290A"/>
    <w:rsid w:val="001A3AAC"/>
    <w:rsid w:val="001C2663"/>
    <w:rsid w:val="001F46B2"/>
    <w:rsid w:val="00201A25"/>
    <w:rsid w:val="0022488F"/>
    <w:rsid w:val="00226076"/>
    <w:rsid w:val="002619A2"/>
    <w:rsid w:val="002A7AA6"/>
    <w:rsid w:val="002A7F19"/>
    <w:rsid w:val="002D1C59"/>
    <w:rsid w:val="0030497F"/>
    <w:rsid w:val="00311CA6"/>
    <w:rsid w:val="00383614"/>
    <w:rsid w:val="00394EF6"/>
    <w:rsid w:val="00395BAF"/>
    <w:rsid w:val="003C17E1"/>
    <w:rsid w:val="00447CC1"/>
    <w:rsid w:val="004B6703"/>
    <w:rsid w:val="004B6815"/>
    <w:rsid w:val="004C1EB7"/>
    <w:rsid w:val="004C3A9C"/>
    <w:rsid w:val="004D0C3B"/>
    <w:rsid w:val="004F7F89"/>
    <w:rsid w:val="00550B91"/>
    <w:rsid w:val="00582B83"/>
    <w:rsid w:val="0059344A"/>
    <w:rsid w:val="005959B0"/>
    <w:rsid w:val="005B139E"/>
    <w:rsid w:val="005B1752"/>
    <w:rsid w:val="005D7785"/>
    <w:rsid w:val="005E1259"/>
    <w:rsid w:val="005E2AF5"/>
    <w:rsid w:val="006264F8"/>
    <w:rsid w:val="006360A4"/>
    <w:rsid w:val="0065352F"/>
    <w:rsid w:val="006A1923"/>
    <w:rsid w:val="006A5902"/>
    <w:rsid w:val="006D24CC"/>
    <w:rsid w:val="006D3D14"/>
    <w:rsid w:val="006E05D4"/>
    <w:rsid w:val="0071548B"/>
    <w:rsid w:val="00754320"/>
    <w:rsid w:val="00763598"/>
    <w:rsid w:val="007651AC"/>
    <w:rsid w:val="00786F0F"/>
    <w:rsid w:val="007A35E2"/>
    <w:rsid w:val="007F4298"/>
    <w:rsid w:val="008054A3"/>
    <w:rsid w:val="00836336"/>
    <w:rsid w:val="008855C3"/>
    <w:rsid w:val="00893A65"/>
    <w:rsid w:val="008B4D0B"/>
    <w:rsid w:val="008D346B"/>
    <w:rsid w:val="009A4972"/>
    <w:rsid w:val="009A708D"/>
    <w:rsid w:val="009B5308"/>
    <w:rsid w:val="009B7FC0"/>
    <w:rsid w:val="009C6C0C"/>
    <w:rsid w:val="00A324D8"/>
    <w:rsid w:val="00A35C90"/>
    <w:rsid w:val="00A40AB7"/>
    <w:rsid w:val="00A57E3E"/>
    <w:rsid w:val="00A604C7"/>
    <w:rsid w:val="00AC39EC"/>
    <w:rsid w:val="00B22912"/>
    <w:rsid w:val="00B34D56"/>
    <w:rsid w:val="00B66F51"/>
    <w:rsid w:val="00B73123"/>
    <w:rsid w:val="00B840B6"/>
    <w:rsid w:val="00BA2C7C"/>
    <w:rsid w:val="00BC7D5B"/>
    <w:rsid w:val="00C14644"/>
    <w:rsid w:val="00C377AA"/>
    <w:rsid w:val="00C4626C"/>
    <w:rsid w:val="00C46E53"/>
    <w:rsid w:val="00C47700"/>
    <w:rsid w:val="00C57630"/>
    <w:rsid w:val="00C678F4"/>
    <w:rsid w:val="00C9793B"/>
    <w:rsid w:val="00CB1DD6"/>
    <w:rsid w:val="00CB2826"/>
    <w:rsid w:val="00CC4F74"/>
    <w:rsid w:val="00CE3026"/>
    <w:rsid w:val="00D1034D"/>
    <w:rsid w:val="00D1617E"/>
    <w:rsid w:val="00D20785"/>
    <w:rsid w:val="00D81B6C"/>
    <w:rsid w:val="00DA0AFA"/>
    <w:rsid w:val="00DA1109"/>
    <w:rsid w:val="00DA6E82"/>
    <w:rsid w:val="00DB6F2D"/>
    <w:rsid w:val="00DF14E0"/>
    <w:rsid w:val="00DF167F"/>
    <w:rsid w:val="00DF69D9"/>
    <w:rsid w:val="00E12E5D"/>
    <w:rsid w:val="00E236C8"/>
    <w:rsid w:val="00E26445"/>
    <w:rsid w:val="00E27DD5"/>
    <w:rsid w:val="00E65F00"/>
    <w:rsid w:val="00E77165"/>
    <w:rsid w:val="00EC21BC"/>
    <w:rsid w:val="00EC5043"/>
    <w:rsid w:val="00EE7A2A"/>
    <w:rsid w:val="00EF5688"/>
    <w:rsid w:val="00F04F31"/>
    <w:rsid w:val="00F06715"/>
    <w:rsid w:val="00F077EA"/>
    <w:rsid w:val="00F10154"/>
    <w:rsid w:val="00F120BA"/>
    <w:rsid w:val="00F16399"/>
    <w:rsid w:val="00F320A9"/>
    <w:rsid w:val="00F44E54"/>
    <w:rsid w:val="00F6143E"/>
    <w:rsid w:val="00F6600F"/>
    <w:rsid w:val="00FD7E7E"/>
    <w:rsid w:val="02C722BF"/>
    <w:rsid w:val="0F7E65B2"/>
    <w:rsid w:val="14FAE58E"/>
    <w:rsid w:val="230A5074"/>
    <w:rsid w:val="5EEC5303"/>
    <w:rsid w:val="7ADD4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668E"/>
  <w15:chartTrackingRefBased/>
  <w15:docId w15:val="{3197070E-50B5-4328-A926-B11234C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333333"/>
        <w:szCs w:val="22"/>
        <w:lang w:val="en-US" w:eastAsia="en-US" w:bidi="ar-SA"/>
      </w:rPr>
    </w:rPrDefault>
    <w:pPrDefault>
      <w:pPr>
        <w:spacing w:line="28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15"/>
  </w:style>
  <w:style w:type="paragraph" w:styleId="Titre1">
    <w:name w:val="heading 1"/>
    <w:basedOn w:val="Normal"/>
    <w:next w:val="Normal"/>
    <w:link w:val="Titre1Car"/>
    <w:uiPriority w:val="9"/>
    <w:qFormat/>
    <w:rsid w:val="00F06715"/>
    <w:pPr>
      <w:outlineLvl w:val="0"/>
    </w:pPr>
    <w:rPr>
      <w:sz w:val="48"/>
      <w:szCs w:val="48"/>
    </w:rPr>
  </w:style>
  <w:style w:type="paragraph" w:styleId="Titre2">
    <w:name w:val="heading 2"/>
    <w:basedOn w:val="Normal"/>
    <w:next w:val="Normal"/>
    <w:link w:val="Titre2Car"/>
    <w:uiPriority w:val="9"/>
    <w:unhideWhenUsed/>
    <w:qFormat/>
    <w:rsid w:val="00F06715"/>
    <w:pPr>
      <w:outlineLvl w:val="1"/>
    </w:pPr>
    <w:rPr>
      <w:sz w:val="36"/>
      <w:szCs w:val="36"/>
    </w:rPr>
  </w:style>
  <w:style w:type="paragraph" w:styleId="Titre3">
    <w:name w:val="heading 3"/>
    <w:basedOn w:val="Normal"/>
    <w:next w:val="Normal"/>
    <w:link w:val="Titre3Car"/>
    <w:uiPriority w:val="9"/>
    <w:unhideWhenUsed/>
    <w:rsid w:val="00D81B6C"/>
    <w:pPr>
      <w:keepNext/>
      <w:keepLines/>
      <w:spacing w:before="40"/>
      <w:outlineLvl w:val="2"/>
    </w:pPr>
    <w:rPr>
      <w:rFonts w:asciiTheme="majorHAnsi" w:eastAsiaTheme="majorEastAsia" w:hAnsiTheme="majorHAnsi" w:cstheme="majorBidi"/>
      <w:color w:val="000000" w:themeColor="accent1" w:themeShade="7F"/>
      <w:sz w:val="24"/>
      <w:szCs w:val="24"/>
    </w:rPr>
  </w:style>
  <w:style w:type="paragraph" w:styleId="Titre4">
    <w:name w:val="heading 4"/>
    <w:basedOn w:val="Normal"/>
    <w:next w:val="Normal"/>
    <w:link w:val="Titre4Car"/>
    <w:uiPriority w:val="9"/>
    <w:unhideWhenUsed/>
    <w:rsid w:val="00D81B6C"/>
    <w:pPr>
      <w:keepNext/>
      <w:keepLines/>
      <w:spacing w:before="40"/>
      <w:outlineLvl w:val="3"/>
    </w:pPr>
    <w:rPr>
      <w:rFonts w:asciiTheme="majorHAnsi" w:eastAsiaTheme="majorEastAsia" w:hAnsiTheme="majorHAnsi" w:cstheme="majorBidi"/>
      <w:i/>
      <w:iCs/>
      <w:color w:val="0000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1752"/>
    <w:pPr>
      <w:tabs>
        <w:tab w:val="center" w:pos="4680"/>
        <w:tab w:val="right" w:pos="9360"/>
      </w:tabs>
      <w:spacing w:line="240" w:lineRule="auto"/>
    </w:pPr>
  </w:style>
  <w:style w:type="character" w:customStyle="1" w:styleId="En-tteCar">
    <w:name w:val="En-tête Car"/>
    <w:basedOn w:val="Policepardfaut"/>
    <w:link w:val="En-tte"/>
    <w:uiPriority w:val="99"/>
    <w:rsid w:val="005B1752"/>
    <w:rPr>
      <w:rFonts w:ascii="Arial" w:hAnsi="Arial"/>
      <w:sz w:val="20"/>
    </w:rPr>
  </w:style>
  <w:style w:type="paragraph" w:styleId="Pieddepage">
    <w:name w:val="footer"/>
    <w:basedOn w:val="Normal"/>
    <w:link w:val="PieddepageCar"/>
    <w:uiPriority w:val="99"/>
    <w:unhideWhenUsed/>
    <w:rsid w:val="005B1752"/>
    <w:pPr>
      <w:tabs>
        <w:tab w:val="center" w:pos="4680"/>
        <w:tab w:val="right" w:pos="9360"/>
      </w:tabs>
      <w:spacing w:line="240" w:lineRule="auto"/>
    </w:pPr>
  </w:style>
  <w:style w:type="character" w:customStyle="1" w:styleId="PieddepageCar">
    <w:name w:val="Pied de page Car"/>
    <w:basedOn w:val="Policepardfaut"/>
    <w:link w:val="Pieddepage"/>
    <w:uiPriority w:val="99"/>
    <w:rsid w:val="005B1752"/>
    <w:rPr>
      <w:rFonts w:ascii="Arial" w:hAnsi="Arial"/>
      <w:sz w:val="20"/>
    </w:rPr>
  </w:style>
  <w:style w:type="paragraph" w:styleId="Textedebulles">
    <w:name w:val="Balloon Text"/>
    <w:basedOn w:val="Normal"/>
    <w:link w:val="TextedebullesCar"/>
    <w:uiPriority w:val="99"/>
    <w:semiHidden/>
    <w:unhideWhenUsed/>
    <w:rsid w:val="005B17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1752"/>
    <w:rPr>
      <w:rFonts w:ascii="Segoe UI" w:hAnsi="Segoe UI" w:cs="Segoe UI"/>
      <w:sz w:val="18"/>
      <w:szCs w:val="18"/>
    </w:rPr>
  </w:style>
  <w:style w:type="table" w:styleId="Grilledutableau">
    <w:name w:val="Table Grid"/>
    <w:basedOn w:val="TableauNormal"/>
    <w:uiPriority w:val="59"/>
    <w:rsid w:val="0017095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F06715"/>
    <w:rPr>
      <w:sz w:val="48"/>
      <w:szCs w:val="48"/>
    </w:rPr>
  </w:style>
  <w:style w:type="character" w:customStyle="1" w:styleId="Titre2Car">
    <w:name w:val="Titre 2 Car"/>
    <w:basedOn w:val="Policepardfaut"/>
    <w:link w:val="Titre2"/>
    <w:uiPriority w:val="9"/>
    <w:rsid w:val="00F06715"/>
    <w:rPr>
      <w:sz w:val="36"/>
      <w:szCs w:val="36"/>
    </w:rPr>
  </w:style>
  <w:style w:type="character" w:customStyle="1" w:styleId="Titre3Car">
    <w:name w:val="Titre 3 Car"/>
    <w:basedOn w:val="Policepardfaut"/>
    <w:link w:val="Titre3"/>
    <w:uiPriority w:val="9"/>
    <w:rsid w:val="00D81B6C"/>
    <w:rPr>
      <w:rFonts w:asciiTheme="majorHAnsi" w:eastAsiaTheme="majorEastAsia" w:hAnsiTheme="majorHAnsi" w:cstheme="majorBidi"/>
      <w:color w:val="000000" w:themeColor="accent1" w:themeShade="7F"/>
      <w:sz w:val="24"/>
      <w:szCs w:val="24"/>
    </w:rPr>
  </w:style>
  <w:style w:type="character" w:customStyle="1" w:styleId="Titre4Car">
    <w:name w:val="Titre 4 Car"/>
    <w:basedOn w:val="Policepardfaut"/>
    <w:link w:val="Titre4"/>
    <w:uiPriority w:val="9"/>
    <w:rsid w:val="00D81B6C"/>
    <w:rPr>
      <w:rFonts w:asciiTheme="majorHAnsi" w:eastAsiaTheme="majorEastAsia" w:hAnsiTheme="majorHAnsi" w:cstheme="majorBidi"/>
      <w:i/>
      <w:iCs/>
      <w:color w:val="000000" w:themeColor="accent1" w:themeShade="BF"/>
      <w:sz w:val="20"/>
    </w:rPr>
  </w:style>
  <w:style w:type="paragraph" w:styleId="Titre">
    <w:name w:val="Title"/>
    <w:basedOn w:val="Normal"/>
    <w:next w:val="Normal"/>
    <w:link w:val="TitreCar"/>
    <w:uiPriority w:val="10"/>
    <w:rsid w:val="00D81B6C"/>
    <w:pPr>
      <w:spacing w:line="240" w:lineRule="auto"/>
      <w:contextualSpacing/>
    </w:pPr>
    <w:rPr>
      <w:rFonts w:eastAsiaTheme="majorEastAsia" w:cs="Arial"/>
      <w:spacing w:val="-10"/>
      <w:kern w:val="28"/>
      <w:sz w:val="36"/>
      <w:szCs w:val="36"/>
      <w:lang w:val="en-GB"/>
    </w:rPr>
  </w:style>
  <w:style w:type="character" w:customStyle="1" w:styleId="TitreCar">
    <w:name w:val="Titre Car"/>
    <w:basedOn w:val="Policepardfaut"/>
    <w:link w:val="Titre"/>
    <w:uiPriority w:val="10"/>
    <w:rsid w:val="00D81B6C"/>
    <w:rPr>
      <w:rFonts w:ascii="Arial" w:eastAsiaTheme="majorEastAsia" w:hAnsi="Arial" w:cs="Arial"/>
      <w:spacing w:val="-10"/>
      <w:kern w:val="28"/>
      <w:sz w:val="36"/>
      <w:szCs w:val="36"/>
      <w:lang w:val="en-GB"/>
    </w:rPr>
  </w:style>
  <w:style w:type="paragraph" w:styleId="Sous-titre">
    <w:name w:val="Subtitle"/>
    <w:basedOn w:val="Normal"/>
    <w:next w:val="Normal"/>
    <w:link w:val="Sous-titreCar"/>
    <w:uiPriority w:val="11"/>
    <w:qFormat/>
    <w:rsid w:val="00F06715"/>
    <w:rPr>
      <w:color w:val="E98300"/>
      <w:sz w:val="24"/>
      <w:szCs w:val="24"/>
    </w:rPr>
  </w:style>
  <w:style w:type="character" w:customStyle="1" w:styleId="Sous-titreCar">
    <w:name w:val="Sous-titre Car"/>
    <w:basedOn w:val="Policepardfaut"/>
    <w:link w:val="Sous-titre"/>
    <w:uiPriority w:val="11"/>
    <w:rsid w:val="00F06715"/>
    <w:rPr>
      <w:color w:val="E98300"/>
      <w:sz w:val="24"/>
      <w:szCs w:val="24"/>
    </w:rPr>
  </w:style>
  <w:style w:type="character" w:styleId="Accentuationlgre">
    <w:name w:val="Subtle Emphasis"/>
    <w:basedOn w:val="Policepardfaut"/>
    <w:uiPriority w:val="19"/>
    <w:qFormat/>
    <w:rsid w:val="00D81B6C"/>
    <w:rPr>
      <w:i/>
      <w:iCs/>
      <w:color w:val="404040" w:themeColor="text1" w:themeTint="BF"/>
    </w:rPr>
  </w:style>
  <w:style w:type="character" w:styleId="Accentuation">
    <w:name w:val="Emphasis"/>
    <w:basedOn w:val="Policepardfaut"/>
    <w:uiPriority w:val="20"/>
    <w:qFormat/>
    <w:rsid w:val="00D81B6C"/>
    <w:rPr>
      <w:i/>
      <w:iCs/>
    </w:rPr>
  </w:style>
  <w:style w:type="character" w:styleId="Lienhypertexte">
    <w:name w:val="Hyperlink"/>
    <w:basedOn w:val="Policepardfaut"/>
    <w:uiPriority w:val="99"/>
    <w:unhideWhenUsed/>
    <w:rsid w:val="00085F22"/>
    <w:rPr>
      <w:color w:val="0563C1" w:themeColor="hyperlink"/>
      <w:u w:val="single"/>
    </w:rPr>
  </w:style>
  <w:style w:type="character" w:styleId="Mentionnonrsolue">
    <w:name w:val="Unresolved Mention"/>
    <w:basedOn w:val="Policepardfaut"/>
    <w:uiPriority w:val="99"/>
    <w:semiHidden/>
    <w:unhideWhenUsed/>
    <w:rsid w:val="00085F22"/>
    <w:rPr>
      <w:color w:val="605E5C"/>
      <w:shd w:val="clear" w:color="auto" w:fill="E1DFDD"/>
    </w:rPr>
  </w:style>
  <w:style w:type="paragraph" w:styleId="Rvision">
    <w:name w:val="Revision"/>
    <w:hidden/>
    <w:uiPriority w:val="99"/>
    <w:semiHidden/>
    <w:rsid w:val="00E65F0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7265">
      <w:bodyDiv w:val="1"/>
      <w:marLeft w:val="0"/>
      <w:marRight w:val="0"/>
      <w:marTop w:val="0"/>
      <w:marBottom w:val="0"/>
      <w:divBdr>
        <w:top w:val="none" w:sz="0" w:space="0" w:color="auto"/>
        <w:left w:val="none" w:sz="0" w:space="0" w:color="auto"/>
        <w:bottom w:val="none" w:sz="0" w:space="0" w:color="auto"/>
        <w:right w:val="none" w:sz="0" w:space="0" w:color="auto"/>
      </w:divBdr>
    </w:div>
    <w:div w:id="962350778">
      <w:bodyDiv w:val="1"/>
      <w:marLeft w:val="0"/>
      <w:marRight w:val="0"/>
      <w:marTop w:val="0"/>
      <w:marBottom w:val="0"/>
      <w:divBdr>
        <w:top w:val="none" w:sz="0" w:space="0" w:color="auto"/>
        <w:left w:val="none" w:sz="0" w:space="0" w:color="auto"/>
        <w:bottom w:val="none" w:sz="0" w:space="0" w:color="auto"/>
        <w:right w:val="none" w:sz="0" w:space="0" w:color="auto"/>
      </w:divBdr>
    </w:div>
    <w:div w:id="1260331738">
      <w:bodyDiv w:val="1"/>
      <w:marLeft w:val="0"/>
      <w:marRight w:val="0"/>
      <w:marTop w:val="0"/>
      <w:marBottom w:val="0"/>
      <w:divBdr>
        <w:top w:val="none" w:sz="0" w:space="0" w:color="auto"/>
        <w:left w:val="none" w:sz="0" w:space="0" w:color="auto"/>
        <w:bottom w:val="none" w:sz="0" w:space="0" w:color="auto"/>
        <w:right w:val="none" w:sz="0" w:space="0" w:color="auto"/>
      </w:divBdr>
    </w:div>
    <w:div w:id="1452749282">
      <w:bodyDiv w:val="1"/>
      <w:marLeft w:val="0"/>
      <w:marRight w:val="0"/>
      <w:marTop w:val="0"/>
      <w:marBottom w:val="0"/>
      <w:divBdr>
        <w:top w:val="none" w:sz="0" w:space="0" w:color="auto"/>
        <w:left w:val="none" w:sz="0" w:space="0" w:color="auto"/>
        <w:bottom w:val="none" w:sz="0" w:space="0" w:color="auto"/>
        <w:right w:val="none" w:sz="0" w:space="0" w:color="auto"/>
      </w:divBdr>
    </w:div>
    <w:div w:id="1878853180">
      <w:bodyDiv w:val="1"/>
      <w:marLeft w:val="0"/>
      <w:marRight w:val="0"/>
      <w:marTop w:val="0"/>
      <w:marBottom w:val="0"/>
      <w:divBdr>
        <w:top w:val="none" w:sz="0" w:space="0" w:color="auto"/>
        <w:left w:val="none" w:sz="0" w:space="0" w:color="auto"/>
        <w:bottom w:val="none" w:sz="0" w:space="0" w:color="auto"/>
        <w:right w:val="none" w:sz="0" w:space="0" w:color="auto"/>
      </w:divBdr>
    </w:div>
    <w:div w:id="2093042860">
      <w:bodyDiv w:val="1"/>
      <w:marLeft w:val="0"/>
      <w:marRight w:val="0"/>
      <w:marTop w:val="0"/>
      <w:marBottom w:val="0"/>
      <w:divBdr>
        <w:top w:val="none" w:sz="0" w:space="0" w:color="auto"/>
        <w:left w:val="none" w:sz="0" w:space="0" w:color="auto"/>
        <w:bottom w:val="none" w:sz="0" w:space="0" w:color="auto"/>
        <w:right w:val="none" w:sz="0" w:space="0" w:color="auto"/>
      </w:divBdr>
      <w:divsChild>
        <w:div w:id="3362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2743\Documents\Custom%20Office%20Templates\GAC_letterhead_%20French.dotx" TargetMode="External"/></Relationships>
</file>

<file path=word/theme/theme1.xml><?xml version="1.0" encoding="utf-8"?>
<a:theme xmlns:a="http://schemas.openxmlformats.org/drawingml/2006/main" name="Office Theme">
  <a:themeElements>
    <a:clrScheme name="GAC Colurs">
      <a:dk1>
        <a:sysClr val="windowText" lastClr="000000"/>
      </a:dk1>
      <a:lt1>
        <a:sysClr val="window" lastClr="FFFFFF"/>
      </a:lt1>
      <a:dk2>
        <a:srgbClr val="44546A"/>
      </a:dk2>
      <a:lt2>
        <a:srgbClr val="E7E6E6"/>
      </a:lt2>
      <a:accent1>
        <a:srgbClr val="000000"/>
      </a:accent1>
      <a:accent2>
        <a:srgbClr val="008542"/>
      </a:accent2>
      <a:accent3>
        <a:srgbClr val="CA2523"/>
      </a:accent3>
      <a:accent4>
        <a:srgbClr val="7D9AAA"/>
      </a:accent4>
      <a:accent5>
        <a:srgbClr val="A6AAAD"/>
      </a:accent5>
      <a:accent6>
        <a:srgbClr val="585F6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D60D19A56B6408E16DE31C18FD764" ma:contentTypeVersion="12" ma:contentTypeDescription="Create a new document." ma:contentTypeScope="" ma:versionID="54c30512e74c390e67f289a65b66a878">
  <xsd:schema xmlns:xsd="http://www.w3.org/2001/XMLSchema" xmlns:xs="http://www.w3.org/2001/XMLSchema" xmlns:p="http://schemas.microsoft.com/office/2006/metadata/properties" xmlns:ns2="f823a942-a6bf-4fc0-b655-37040c924fda" xmlns:ns3="5c9df76f-93fc-4f27-84f6-a48d30c8e78b" targetNamespace="http://schemas.microsoft.com/office/2006/metadata/properties" ma:root="true" ma:fieldsID="aad9ce71ad34690facc5363159b03042" ns2:_="" ns3:_="">
    <xsd:import namespace="f823a942-a6bf-4fc0-b655-37040c924fda"/>
    <xsd:import namespace="5c9df76f-93fc-4f27-84f6-a48d30c8e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3a942-a6bf-4fc0-b655-37040c924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df76f-93fc-4f27-84f6-a48d30c8e7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D8EE4-0924-44D0-866B-E479188C284B}">
  <ds:schemaRefs>
    <ds:schemaRef ds:uri="http://schemas.microsoft.com/sharepoint/v3/contenttype/forms"/>
  </ds:schemaRefs>
</ds:datastoreItem>
</file>

<file path=customXml/itemProps2.xml><?xml version="1.0" encoding="utf-8"?>
<ds:datastoreItem xmlns:ds="http://schemas.openxmlformats.org/officeDocument/2006/customXml" ds:itemID="{23FBF79F-4928-4C42-A1AC-923F20F10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6013B-DA75-4851-901F-CB7C3FF3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3a942-a6bf-4fc0-b655-37040c924fda"/>
    <ds:schemaRef ds:uri="5c9df76f-93fc-4f27-84f6-a48d30c8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GAC_letterhead_ French</Template>
  <TotalTime>0</TotalTime>
  <Pages>1</Pages>
  <Words>434</Words>
  <Characters>2393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Guinea Alumina Corporation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SIMARD</dc:creator>
  <cp:keywords/>
  <dc:description/>
  <cp:lastModifiedBy>HP</cp:lastModifiedBy>
  <cp:revision>2</cp:revision>
  <cp:lastPrinted>2019-03-29T17:12:00Z</cp:lastPrinted>
  <dcterms:created xsi:type="dcterms:W3CDTF">2022-04-15T10:30:00Z</dcterms:created>
  <dcterms:modified xsi:type="dcterms:W3CDTF">2022-04-15T10:30:00Z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0x010100D92D60D19A56B6408E16DE31C18FD764</vt:lpwstr>
  </property>
</Properties>
</file>