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87" w:rsidRDefault="00F15487">
      <w:pPr>
        <w:pStyle w:val="Corps"/>
        <w:spacing w:after="0" w:line="240" w:lineRule="auto"/>
        <w:rPr>
          <w:rStyle w:val="Aucun"/>
          <w:b/>
          <w:bCs/>
          <w:sz w:val="24"/>
          <w:szCs w:val="24"/>
          <w:u w:val="single"/>
        </w:rPr>
      </w:pPr>
    </w:p>
    <w:p w:rsidR="001D34C6" w:rsidRPr="009B6B28" w:rsidRDefault="001D34C6" w:rsidP="001D34C6">
      <w:pPr>
        <w:pStyle w:val="Corps"/>
        <w:rPr>
          <w:b/>
          <w:sz w:val="20"/>
          <w:szCs w:val="20"/>
          <w:lang w:val="fr-FR"/>
        </w:rPr>
      </w:pPr>
      <w:proofErr w:type="spellStart"/>
      <w:r w:rsidRPr="00073905">
        <w:rPr>
          <w:sz w:val="20"/>
          <w:szCs w:val="20"/>
          <w:lang w:val="fr-FR"/>
        </w:rPr>
        <w:t>W</w:t>
      </w:r>
      <w:r>
        <w:rPr>
          <w:sz w:val="20"/>
          <w:szCs w:val="20"/>
          <w:lang w:val="fr-FR"/>
        </w:rPr>
        <w:t>inning</w:t>
      </w:r>
      <w:proofErr w:type="spellEnd"/>
      <w:r>
        <w:rPr>
          <w:sz w:val="20"/>
          <w:szCs w:val="20"/>
          <w:lang w:val="fr-FR"/>
        </w:rPr>
        <w:t xml:space="preserve"> C</w:t>
      </w:r>
      <w:r w:rsidRPr="00073905">
        <w:rPr>
          <w:sz w:val="20"/>
          <w:szCs w:val="20"/>
          <w:lang w:val="fr-FR"/>
        </w:rPr>
        <w:t>onsort</w:t>
      </w:r>
      <w:r>
        <w:rPr>
          <w:sz w:val="20"/>
          <w:szCs w:val="20"/>
          <w:lang w:val="fr-FR"/>
        </w:rPr>
        <w:t>ium</w:t>
      </w:r>
      <w:r w:rsidRPr="00073905">
        <w:rPr>
          <w:sz w:val="20"/>
          <w:szCs w:val="20"/>
          <w:lang w:val="fr-FR"/>
        </w:rPr>
        <w:t xml:space="preserve"> </w:t>
      </w:r>
      <w:proofErr w:type="spellStart"/>
      <w:r w:rsidRPr="00073905">
        <w:rPr>
          <w:sz w:val="20"/>
          <w:szCs w:val="20"/>
          <w:lang w:val="fr-FR"/>
        </w:rPr>
        <w:t>S</w:t>
      </w:r>
      <w:r>
        <w:rPr>
          <w:sz w:val="20"/>
          <w:szCs w:val="20"/>
          <w:lang w:val="fr-FR"/>
        </w:rPr>
        <w:t>imandou</w:t>
      </w:r>
      <w:proofErr w:type="spellEnd"/>
      <w:r>
        <w:rPr>
          <w:sz w:val="20"/>
          <w:szCs w:val="20"/>
          <w:lang w:val="fr-FR"/>
        </w:rPr>
        <w:t xml:space="preserve"> (WCS) cherche un candidat à pourvoir le poste de </w:t>
      </w:r>
      <w:r w:rsidR="002D2097">
        <w:rPr>
          <w:b/>
          <w:sz w:val="20"/>
          <w:szCs w:val="20"/>
          <w:lang w:val="fr-FR"/>
        </w:rPr>
        <w:t>Manager de la conformité</w:t>
      </w:r>
      <w:r w:rsidR="008B5568">
        <w:rPr>
          <w:b/>
          <w:sz w:val="20"/>
          <w:szCs w:val="20"/>
          <w:lang w:val="fr-FR"/>
        </w:rPr>
        <w:t>.</w:t>
      </w:r>
    </w:p>
    <w:p w:rsidR="001D34C6" w:rsidRPr="00073905" w:rsidRDefault="001D34C6" w:rsidP="001D34C6">
      <w:pPr>
        <w:pStyle w:val="Corps"/>
        <w:rPr>
          <w:sz w:val="20"/>
          <w:szCs w:val="20"/>
          <w:lang w:val="fr-FR"/>
        </w:rPr>
      </w:pPr>
      <w:r w:rsidRPr="00073905">
        <w:rPr>
          <w:sz w:val="20"/>
          <w:szCs w:val="20"/>
          <w:lang w:val="fr-FR"/>
        </w:rPr>
        <w:t xml:space="preserve">WCS est composé de quatre sociétés : le groupe China </w:t>
      </w:r>
      <w:proofErr w:type="spellStart"/>
      <w:r w:rsidRPr="00073905">
        <w:rPr>
          <w:sz w:val="20"/>
          <w:szCs w:val="20"/>
          <w:lang w:val="fr-FR"/>
        </w:rPr>
        <w:t>Hongqiao</w:t>
      </w:r>
      <w:proofErr w:type="spellEnd"/>
      <w:r w:rsidRPr="00073905">
        <w:rPr>
          <w:sz w:val="20"/>
          <w:szCs w:val="20"/>
          <w:lang w:val="fr-FR"/>
        </w:rPr>
        <w:t xml:space="preserve">, qui fait partie du groupe Shandong </w:t>
      </w:r>
      <w:proofErr w:type="spellStart"/>
      <w:r w:rsidRPr="00073905">
        <w:rPr>
          <w:sz w:val="20"/>
          <w:szCs w:val="20"/>
          <w:lang w:val="fr-FR"/>
        </w:rPr>
        <w:t>Weiqiao</w:t>
      </w:r>
      <w:proofErr w:type="spellEnd"/>
      <w:r w:rsidRPr="00073905">
        <w:rPr>
          <w:sz w:val="20"/>
          <w:szCs w:val="20"/>
          <w:lang w:val="fr-FR"/>
        </w:rPr>
        <w:t xml:space="preserve"> en Chine, le groupe Yantai Port, la société guinéenne UMS (United Mining </w:t>
      </w:r>
      <w:proofErr w:type="spellStart"/>
      <w:r w:rsidRPr="00073905">
        <w:rPr>
          <w:sz w:val="20"/>
          <w:szCs w:val="20"/>
          <w:lang w:val="fr-FR"/>
        </w:rPr>
        <w:t>Supply</w:t>
      </w:r>
      <w:proofErr w:type="spellEnd"/>
      <w:r w:rsidRPr="00073905">
        <w:rPr>
          <w:sz w:val="20"/>
          <w:szCs w:val="20"/>
          <w:lang w:val="fr-FR"/>
        </w:rPr>
        <w:t xml:space="preserve">) et le groupe singapourien </w:t>
      </w:r>
      <w:proofErr w:type="spellStart"/>
      <w:r w:rsidRPr="00073905">
        <w:rPr>
          <w:sz w:val="20"/>
          <w:szCs w:val="20"/>
          <w:lang w:val="fr-FR"/>
        </w:rPr>
        <w:t>Winning</w:t>
      </w:r>
      <w:proofErr w:type="spellEnd"/>
      <w:r w:rsidRPr="00073905">
        <w:rPr>
          <w:sz w:val="20"/>
          <w:szCs w:val="20"/>
          <w:lang w:val="fr-FR"/>
        </w:rPr>
        <w:t xml:space="preserve"> Shipping. En novembre 2019, WCS a remporté l'appel d'offres pour les blocs #1 et #2 de </w:t>
      </w:r>
      <w:proofErr w:type="spellStart"/>
      <w:r w:rsidRPr="00073905">
        <w:rPr>
          <w:sz w:val="20"/>
          <w:szCs w:val="20"/>
          <w:lang w:val="fr-FR"/>
        </w:rPr>
        <w:t>Simandou</w:t>
      </w:r>
      <w:proofErr w:type="spellEnd"/>
      <w:r w:rsidRPr="00073905">
        <w:rPr>
          <w:sz w:val="20"/>
          <w:szCs w:val="20"/>
          <w:lang w:val="fr-FR"/>
        </w:rPr>
        <w:t>. Il s'agit d'un pro</w:t>
      </w:r>
      <w:r>
        <w:rPr>
          <w:sz w:val="20"/>
          <w:szCs w:val="20"/>
          <w:lang w:val="fr-FR"/>
        </w:rPr>
        <w:t>jet minier intégré comprenant :</w:t>
      </w:r>
    </w:p>
    <w:p w:rsidR="001D34C6" w:rsidRDefault="001D34C6" w:rsidP="001D34C6">
      <w:pPr>
        <w:pStyle w:val="Corps"/>
        <w:numPr>
          <w:ilvl w:val="0"/>
          <w:numId w:val="10"/>
        </w:numPr>
        <w:rPr>
          <w:sz w:val="20"/>
          <w:szCs w:val="20"/>
          <w:lang w:val="fr-FR"/>
        </w:rPr>
      </w:pPr>
      <w:r w:rsidRPr="00073905">
        <w:rPr>
          <w:sz w:val="20"/>
          <w:szCs w:val="20"/>
          <w:lang w:val="fr-FR"/>
        </w:rPr>
        <w:t xml:space="preserve">Une mine de fer à ciel ouvert dans la chaîne montagneuse de </w:t>
      </w:r>
      <w:proofErr w:type="spellStart"/>
      <w:r w:rsidRPr="00073905">
        <w:rPr>
          <w:sz w:val="20"/>
          <w:szCs w:val="20"/>
          <w:lang w:val="fr-FR"/>
        </w:rPr>
        <w:t>Simandou</w:t>
      </w:r>
      <w:proofErr w:type="spellEnd"/>
      <w:r w:rsidRPr="00073905">
        <w:rPr>
          <w:sz w:val="20"/>
          <w:szCs w:val="20"/>
          <w:lang w:val="fr-FR"/>
        </w:rPr>
        <w:t xml:space="preserve"> au nord-est de la Guinée, à environ 600 km des côtes guinéennes, avec une capacité estimée à 95 millions de tonnes par an.</w:t>
      </w:r>
    </w:p>
    <w:p w:rsidR="001D34C6" w:rsidRDefault="001D34C6" w:rsidP="001D34C6">
      <w:pPr>
        <w:pStyle w:val="Corps"/>
        <w:numPr>
          <w:ilvl w:val="0"/>
          <w:numId w:val="10"/>
        </w:numPr>
        <w:rPr>
          <w:sz w:val="20"/>
          <w:szCs w:val="20"/>
          <w:lang w:val="fr-FR"/>
        </w:rPr>
      </w:pPr>
      <w:r w:rsidRPr="009B6B28">
        <w:rPr>
          <w:sz w:val="20"/>
          <w:szCs w:val="20"/>
          <w:lang w:val="fr-FR"/>
        </w:rPr>
        <w:t>Afin d'exploiter le minerai de fer des blocs #1 &amp; #2, WCS s'est engagé, dans le cadre de la convention minière signée avec le gouvernement guinéen, à construire une voie ferrée « trans-guinéenne » d'en</w:t>
      </w:r>
      <w:r>
        <w:rPr>
          <w:sz w:val="20"/>
          <w:szCs w:val="20"/>
          <w:lang w:val="fr-FR"/>
        </w:rPr>
        <w:t xml:space="preserve">viron 600 km, pour relier </w:t>
      </w:r>
      <w:r w:rsidRPr="009B6B28">
        <w:rPr>
          <w:sz w:val="20"/>
          <w:szCs w:val="20"/>
          <w:lang w:val="fr-FR"/>
        </w:rPr>
        <w:t xml:space="preserve">la mine de </w:t>
      </w:r>
      <w:proofErr w:type="spellStart"/>
      <w:r w:rsidRPr="009B6B28">
        <w:rPr>
          <w:sz w:val="20"/>
          <w:szCs w:val="20"/>
          <w:lang w:val="fr-FR"/>
        </w:rPr>
        <w:t>Simandou</w:t>
      </w:r>
      <w:proofErr w:type="spellEnd"/>
      <w:r w:rsidRPr="009B6B28">
        <w:rPr>
          <w:sz w:val="20"/>
          <w:szCs w:val="20"/>
          <w:lang w:val="fr-FR"/>
        </w:rPr>
        <w:t xml:space="preserve"> aux côtes guinéennes, et de construire des installations portuaires pour atteindre l'objectif d'exportation de minerai de fer d'environ 60 millions de tonnes par an dans sa première phase, pour ensuite passer à environ 100 millions de tonnes lors de la deuxième phase.</w:t>
      </w:r>
    </w:p>
    <w:p w:rsidR="001D34C6" w:rsidRPr="00204F55" w:rsidRDefault="001D34C6" w:rsidP="001D34C6">
      <w:pPr>
        <w:pStyle w:val="Corps"/>
        <w:numPr>
          <w:ilvl w:val="0"/>
          <w:numId w:val="10"/>
        </w:numPr>
        <w:rPr>
          <w:sz w:val="20"/>
          <w:szCs w:val="20"/>
          <w:lang w:val="fr-FR"/>
        </w:rPr>
      </w:pPr>
      <w:r w:rsidRPr="00204F55">
        <w:rPr>
          <w:sz w:val="20"/>
          <w:szCs w:val="20"/>
          <w:lang w:val="fr-FR"/>
        </w:rPr>
        <w:t xml:space="preserve">Dans la région de </w:t>
      </w:r>
      <w:proofErr w:type="spellStart"/>
      <w:r w:rsidRPr="00204F55">
        <w:rPr>
          <w:sz w:val="20"/>
          <w:szCs w:val="20"/>
          <w:lang w:val="fr-FR"/>
        </w:rPr>
        <w:t>Senguelen</w:t>
      </w:r>
      <w:proofErr w:type="spellEnd"/>
      <w:r w:rsidRPr="00204F55">
        <w:rPr>
          <w:sz w:val="20"/>
          <w:szCs w:val="20"/>
          <w:lang w:val="fr-FR"/>
        </w:rPr>
        <w:t xml:space="preserve">, préfecture de Forécariah, WCS prévoit de construire des installations portuaires sur la rivière </w:t>
      </w:r>
      <w:proofErr w:type="spellStart"/>
      <w:r w:rsidRPr="00204F55">
        <w:rPr>
          <w:sz w:val="20"/>
          <w:szCs w:val="20"/>
          <w:lang w:val="fr-FR"/>
        </w:rPr>
        <w:t>Morébayah</w:t>
      </w:r>
      <w:proofErr w:type="spellEnd"/>
      <w:r w:rsidRPr="00204F55">
        <w:rPr>
          <w:sz w:val="20"/>
          <w:szCs w:val="20"/>
          <w:lang w:val="fr-FR"/>
        </w:rPr>
        <w:t xml:space="preserve"> pour charger du minerai de fer sur des barges d'une capacité d'environ 8 000 tonnes, pour ensuite charger su</w:t>
      </w:r>
      <w:r>
        <w:rPr>
          <w:sz w:val="20"/>
          <w:szCs w:val="20"/>
          <w:lang w:val="fr-FR"/>
        </w:rPr>
        <w:t xml:space="preserve">r de grands navires océaniques </w:t>
      </w:r>
      <w:r w:rsidRPr="00204F55">
        <w:rPr>
          <w:sz w:val="20"/>
          <w:szCs w:val="20"/>
          <w:lang w:val="fr-FR"/>
        </w:rPr>
        <w:t>grâce à ses terminaux de transbordement en m</w:t>
      </w:r>
      <w:r>
        <w:rPr>
          <w:sz w:val="20"/>
          <w:szCs w:val="20"/>
          <w:lang w:val="fr-FR"/>
        </w:rPr>
        <w:t>er de grande capacité. U</w:t>
      </w:r>
      <w:r w:rsidRPr="00204F55">
        <w:rPr>
          <w:sz w:val="20"/>
          <w:szCs w:val="20"/>
          <w:lang w:val="fr-FR"/>
        </w:rPr>
        <w:t xml:space="preserve">n nouveau port en eau profonde est </w:t>
      </w:r>
      <w:r>
        <w:rPr>
          <w:sz w:val="20"/>
          <w:szCs w:val="20"/>
          <w:lang w:val="fr-FR"/>
        </w:rPr>
        <w:t xml:space="preserve">aussi </w:t>
      </w:r>
      <w:r w:rsidRPr="00204F55">
        <w:rPr>
          <w:sz w:val="20"/>
          <w:szCs w:val="20"/>
          <w:lang w:val="fr-FR"/>
        </w:rPr>
        <w:t xml:space="preserve">prévu sur le site de l'île de </w:t>
      </w:r>
      <w:proofErr w:type="spellStart"/>
      <w:r w:rsidRPr="00204F55">
        <w:rPr>
          <w:sz w:val="20"/>
          <w:szCs w:val="20"/>
          <w:lang w:val="fr-FR"/>
        </w:rPr>
        <w:t>Matakang</w:t>
      </w:r>
      <w:proofErr w:type="spellEnd"/>
      <w:r w:rsidRPr="00204F55">
        <w:rPr>
          <w:sz w:val="20"/>
          <w:szCs w:val="20"/>
          <w:lang w:val="fr-FR"/>
        </w:rPr>
        <w:t>.</w:t>
      </w:r>
    </w:p>
    <w:p w:rsidR="00F15487" w:rsidRPr="008B5568" w:rsidRDefault="00F15487">
      <w:pPr>
        <w:pStyle w:val="Corps"/>
        <w:spacing w:after="0" w:line="240" w:lineRule="auto"/>
        <w:rPr>
          <w:rStyle w:val="Aucun"/>
          <w:u w:val="single"/>
          <w:lang w:val="fr-FR"/>
        </w:rPr>
      </w:pPr>
    </w:p>
    <w:p w:rsidR="00F15487" w:rsidRPr="008B5568" w:rsidRDefault="00F15487">
      <w:pPr>
        <w:pStyle w:val="Corps"/>
        <w:spacing w:after="0" w:line="240" w:lineRule="auto"/>
        <w:rPr>
          <w:rStyle w:val="Aucun"/>
          <w:u w:val="single"/>
          <w:lang w:val="fr-FR"/>
        </w:rPr>
      </w:pPr>
    </w:p>
    <w:p w:rsidR="00F15487" w:rsidRPr="002D2097" w:rsidRDefault="001D34C6" w:rsidP="002D2097">
      <w:pPr>
        <w:pStyle w:val="Corps"/>
        <w:spacing w:after="0" w:line="240" w:lineRule="auto"/>
        <w:rPr>
          <w:rStyle w:val="Aucun"/>
          <w:b/>
          <w:bCs/>
          <w:sz w:val="24"/>
          <w:szCs w:val="24"/>
          <w:u w:val="single"/>
          <w:lang w:val="fr-FR"/>
        </w:rPr>
      </w:pPr>
      <w:r>
        <w:rPr>
          <w:rStyle w:val="Aucun"/>
          <w:b/>
          <w:bCs/>
          <w:sz w:val="24"/>
          <w:szCs w:val="24"/>
          <w:u w:val="single"/>
          <w:lang w:val="fr-FR"/>
        </w:rPr>
        <w:t>Titre du Poste</w:t>
      </w:r>
      <w:r w:rsidR="00743155" w:rsidRPr="001D34C6">
        <w:rPr>
          <w:rStyle w:val="Aucun"/>
          <w:b/>
          <w:bCs/>
          <w:sz w:val="24"/>
          <w:szCs w:val="24"/>
          <w:u w:val="single"/>
          <w:lang w:val="fr-FR"/>
        </w:rPr>
        <w:t>:</w:t>
      </w:r>
      <w:r w:rsidR="002D2097">
        <w:rPr>
          <w:rStyle w:val="Aucun"/>
          <w:b/>
          <w:bCs/>
          <w:sz w:val="24"/>
          <w:szCs w:val="24"/>
          <w:lang w:val="fr-FR"/>
        </w:rPr>
        <w:t xml:space="preserve"> Manager de la Conformité </w:t>
      </w:r>
      <w:r w:rsidR="00743155" w:rsidRPr="001D34C6">
        <w:rPr>
          <w:rStyle w:val="Aucun"/>
          <w:b/>
          <w:bCs/>
          <w:sz w:val="24"/>
          <w:szCs w:val="24"/>
          <w:lang w:val="fr-FR"/>
        </w:rPr>
        <w:tab/>
      </w:r>
    </w:p>
    <w:p w:rsidR="00F15487" w:rsidRPr="001D34C6" w:rsidRDefault="00F15487">
      <w:pPr>
        <w:pStyle w:val="Corps"/>
        <w:pBdr>
          <w:top w:val="single" w:sz="4" w:space="0" w:color="000000"/>
        </w:pBdr>
        <w:spacing w:after="0" w:line="240" w:lineRule="auto"/>
        <w:jc w:val="center"/>
        <w:rPr>
          <w:rStyle w:val="Aucun"/>
          <w:b/>
          <w:bCs/>
          <w:sz w:val="20"/>
          <w:szCs w:val="20"/>
          <w:u w:val="single"/>
          <w:lang w:val="fr-FR"/>
        </w:rPr>
      </w:pPr>
    </w:p>
    <w:p w:rsidR="00F15487" w:rsidRPr="001D34C6" w:rsidRDefault="00F15487">
      <w:pPr>
        <w:pStyle w:val="Corps"/>
        <w:spacing w:after="0" w:line="240" w:lineRule="auto"/>
        <w:jc w:val="both"/>
        <w:rPr>
          <w:rStyle w:val="Aucun"/>
          <w:b/>
          <w:bCs/>
          <w:sz w:val="20"/>
          <w:szCs w:val="20"/>
          <w:u w:val="single"/>
          <w:lang w:val="fr-FR"/>
        </w:rPr>
      </w:pPr>
    </w:p>
    <w:p w:rsidR="00DC6302" w:rsidRPr="00A32F4E" w:rsidRDefault="00DC6302" w:rsidP="00DC6302">
      <w:pPr>
        <w:pStyle w:val="Corps"/>
        <w:spacing w:after="0" w:line="240" w:lineRule="auto"/>
        <w:ind w:left="426" w:hanging="426"/>
        <w:jc w:val="both"/>
        <w:rPr>
          <w:rStyle w:val="Aucun"/>
          <w:b/>
          <w:bCs/>
          <w:sz w:val="20"/>
          <w:szCs w:val="20"/>
          <w:u w:val="single"/>
          <w:lang w:val="fr-FR"/>
        </w:rPr>
      </w:pPr>
      <w:r w:rsidRPr="00A32F4E">
        <w:rPr>
          <w:rStyle w:val="Aucun"/>
          <w:b/>
          <w:bCs/>
          <w:sz w:val="20"/>
          <w:szCs w:val="20"/>
          <w:u w:val="single"/>
          <w:lang w:val="fr-FR"/>
        </w:rPr>
        <w:t>Les principales activités et tâches comprennent les suivantes, d'autres tâches peuvent être assignées:</w:t>
      </w:r>
    </w:p>
    <w:p w:rsidR="00F15487" w:rsidRPr="00774D4B" w:rsidRDefault="00F15487">
      <w:pPr>
        <w:pStyle w:val="Corps"/>
        <w:spacing w:after="0" w:line="240" w:lineRule="auto"/>
        <w:ind w:left="426" w:hanging="426"/>
        <w:jc w:val="both"/>
        <w:rPr>
          <w:rStyle w:val="Aucun"/>
          <w:b/>
          <w:bCs/>
          <w:sz w:val="20"/>
          <w:szCs w:val="20"/>
          <w:u w:val="single"/>
          <w:lang w:val="fr-FR"/>
        </w:rPr>
      </w:pP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 xml:space="preserve">S’assurer du respect de toutes les lois, réglementations et directives pertinentes du Groupe. </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 xml:space="preserve">Diffuser et effectuer "Gap </w:t>
      </w:r>
      <w:proofErr w:type="spellStart"/>
      <w:r w:rsidRPr="008C2E3E">
        <w:rPr>
          <w:rFonts w:ascii="Arial" w:hAnsi="Arial" w:cs="Arial"/>
          <w:sz w:val="20"/>
          <w:szCs w:val="20"/>
          <w:lang w:val="fr-FR"/>
        </w:rPr>
        <w:t>Analysis</w:t>
      </w:r>
      <w:proofErr w:type="spellEnd"/>
      <w:r w:rsidRPr="008C2E3E">
        <w:rPr>
          <w:rFonts w:ascii="Arial" w:hAnsi="Arial" w:cs="Arial"/>
          <w:sz w:val="20"/>
          <w:szCs w:val="20"/>
          <w:lang w:val="fr-FR"/>
        </w:rPr>
        <w:t>" sur les nouvelles réglementations/modifications et mettre à jour les procédures pertinentes, en identifiant les domaines à améliorer et à les mettre à jour le cas échéant.</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Mise en œuvre de contrôles de conformité, de protocoles d'escalade et des activités de gestion des risques, conformément aux directives, politiques du Groupe et aux exigences réglementaires locales applicables.</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Conseil en matière de conformité interne à la haute direction et aux principales parties prenantes afin de fournir des solutions viables aux problèmes potentiels impliquant la conformité ou le risque réglementaire.</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Effectuer des contrôles de deuxième ligne de défense sur la pertinence des investissements.</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Suivi et tests de conformité basés sur les risques sur des sujets réglementaires sélectionnés.</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Adjoint au responsable de la conformité en tant que contact de liaison avec les autorités gouvernementales locales et d'autres organismes de réglementation.</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Rapports et enquêtes réglementaires périodiques et ponctuels.</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Mener des séances d'information et des formations du personnel sur les exigences réglementaires, les politiques et procédures internes.</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Veiller à ce que le personnel exerçant des activités réglementées obtienne les licences nécessaires.</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Suivi des activités de transaction du personnel et approbation des cadeaux.</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Aider au traitement des plaintes.</w:t>
      </w:r>
    </w:p>
    <w:p w:rsidR="008C2E3E" w:rsidRDefault="008C2E3E" w:rsidP="008C2E3E">
      <w:pPr>
        <w:pStyle w:val="Paragraphedeliste"/>
        <w:numPr>
          <w:ilvl w:val="0"/>
          <w:numId w:val="12"/>
        </w:numPr>
        <w:jc w:val="both"/>
        <w:rPr>
          <w:rFonts w:ascii="Arial" w:hAnsi="Arial" w:cs="Arial"/>
          <w:sz w:val="20"/>
          <w:szCs w:val="20"/>
          <w:lang w:val="fr-FR"/>
        </w:rPr>
      </w:pPr>
      <w:r w:rsidRPr="008C2E3E">
        <w:rPr>
          <w:rFonts w:ascii="Arial" w:hAnsi="Arial" w:cs="Arial"/>
          <w:sz w:val="20"/>
          <w:szCs w:val="20"/>
          <w:lang w:val="fr-FR"/>
        </w:rPr>
        <w:t>Coordonner les inspections de conformité, les audits, les revues et les enquêtes.</w:t>
      </w:r>
    </w:p>
    <w:p w:rsidR="00F15487" w:rsidRPr="008C2E3E" w:rsidRDefault="008C2E3E" w:rsidP="008C2E3E">
      <w:pPr>
        <w:pStyle w:val="Paragraphedeliste"/>
        <w:numPr>
          <w:ilvl w:val="0"/>
          <w:numId w:val="12"/>
        </w:numPr>
        <w:jc w:val="both"/>
        <w:rPr>
          <w:rStyle w:val="Aucun"/>
          <w:rFonts w:ascii="Arial" w:hAnsi="Arial" w:cs="Arial"/>
          <w:sz w:val="20"/>
          <w:szCs w:val="20"/>
          <w:lang w:val="fr-FR"/>
        </w:rPr>
      </w:pPr>
      <w:r w:rsidRPr="008C2E3E">
        <w:rPr>
          <w:rFonts w:ascii="Arial" w:hAnsi="Arial" w:cs="Arial"/>
          <w:sz w:val="20"/>
          <w:szCs w:val="20"/>
          <w:lang w:val="fr-FR"/>
        </w:rPr>
        <w:t>Gérer tous les permis et contrats.</w:t>
      </w:r>
    </w:p>
    <w:p w:rsidR="002D2097" w:rsidRDefault="002D2097" w:rsidP="008C1417">
      <w:pPr>
        <w:pStyle w:val="Corps"/>
        <w:spacing w:after="0" w:line="240" w:lineRule="auto"/>
        <w:rPr>
          <w:rStyle w:val="Aucun"/>
          <w:b/>
          <w:bCs/>
          <w:sz w:val="20"/>
          <w:szCs w:val="20"/>
          <w:u w:val="single"/>
          <w:lang w:val="fr-FR"/>
        </w:rPr>
      </w:pPr>
    </w:p>
    <w:p w:rsidR="002D2097" w:rsidRDefault="002D2097" w:rsidP="008C1417">
      <w:pPr>
        <w:pStyle w:val="Corps"/>
        <w:spacing w:after="0" w:line="240" w:lineRule="auto"/>
        <w:rPr>
          <w:rStyle w:val="Aucun"/>
          <w:b/>
          <w:bCs/>
          <w:sz w:val="20"/>
          <w:szCs w:val="20"/>
          <w:u w:val="single"/>
          <w:lang w:val="fr-FR"/>
        </w:rPr>
      </w:pPr>
    </w:p>
    <w:p w:rsidR="002D2097" w:rsidRDefault="002D2097" w:rsidP="008C1417">
      <w:pPr>
        <w:pStyle w:val="Corps"/>
        <w:spacing w:after="0" w:line="240" w:lineRule="auto"/>
        <w:rPr>
          <w:rStyle w:val="Aucun"/>
          <w:b/>
          <w:bCs/>
          <w:sz w:val="20"/>
          <w:szCs w:val="20"/>
          <w:u w:val="single"/>
          <w:lang w:val="fr-FR"/>
        </w:rPr>
      </w:pPr>
    </w:p>
    <w:p w:rsidR="008C1417" w:rsidRPr="00C3653F" w:rsidRDefault="008C1417" w:rsidP="008C1417">
      <w:pPr>
        <w:pStyle w:val="Corps"/>
        <w:spacing w:after="0" w:line="240" w:lineRule="auto"/>
        <w:rPr>
          <w:rStyle w:val="Aucun"/>
          <w:b/>
          <w:bCs/>
          <w:sz w:val="20"/>
          <w:szCs w:val="20"/>
          <w:u w:val="single"/>
          <w:lang w:val="fr-FR"/>
        </w:rPr>
      </w:pPr>
      <w:r w:rsidRPr="00C3653F">
        <w:rPr>
          <w:rStyle w:val="Aucun"/>
          <w:b/>
          <w:bCs/>
          <w:sz w:val="20"/>
          <w:szCs w:val="20"/>
          <w:u w:val="single"/>
          <w:lang w:val="fr-FR"/>
        </w:rPr>
        <w:t xml:space="preserve">Lieu: </w:t>
      </w:r>
    </w:p>
    <w:p w:rsidR="008C1417" w:rsidRPr="00AC7119" w:rsidRDefault="008C1417" w:rsidP="008C1417">
      <w:pPr>
        <w:pStyle w:val="Corps"/>
        <w:spacing w:after="0" w:line="240" w:lineRule="auto"/>
        <w:rPr>
          <w:rStyle w:val="Aucun"/>
          <w:sz w:val="20"/>
          <w:szCs w:val="20"/>
          <w:lang w:val="fr-FR"/>
        </w:rPr>
      </w:pPr>
      <w:r w:rsidRPr="00C3653F">
        <w:rPr>
          <w:rStyle w:val="Aucun"/>
          <w:sz w:val="20"/>
          <w:szCs w:val="20"/>
          <w:lang w:val="fr-FR"/>
        </w:rPr>
        <w:t xml:space="preserve">Conakry &amp; </w:t>
      </w:r>
      <w:proofErr w:type="spellStart"/>
      <w:r w:rsidRPr="00C3653F">
        <w:rPr>
          <w:rStyle w:val="Aucun"/>
          <w:sz w:val="20"/>
          <w:szCs w:val="20"/>
          <w:lang w:val="fr-FR"/>
        </w:rPr>
        <w:t>Guinea</w:t>
      </w:r>
      <w:proofErr w:type="spellEnd"/>
    </w:p>
    <w:p w:rsidR="008C1417" w:rsidRPr="00335978" w:rsidRDefault="008C1417" w:rsidP="008C1417">
      <w:pPr>
        <w:pStyle w:val="Corps"/>
        <w:spacing w:after="0" w:line="240" w:lineRule="auto"/>
        <w:jc w:val="both"/>
        <w:rPr>
          <w:rStyle w:val="Aucun"/>
          <w:b/>
          <w:sz w:val="20"/>
          <w:szCs w:val="20"/>
          <w:u w:val="single"/>
          <w:lang w:val="fr-FR"/>
        </w:rPr>
      </w:pPr>
    </w:p>
    <w:p w:rsidR="008C1417" w:rsidRPr="00335978" w:rsidRDefault="008C1417" w:rsidP="008C1417">
      <w:pPr>
        <w:pStyle w:val="Corps"/>
        <w:spacing w:after="0" w:line="240" w:lineRule="auto"/>
        <w:ind w:left="426" w:hanging="426"/>
        <w:jc w:val="both"/>
        <w:rPr>
          <w:rStyle w:val="Aucun"/>
          <w:b/>
          <w:bCs/>
          <w:sz w:val="20"/>
          <w:szCs w:val="20"/>
          <w:u w:val="single"/>
          <w:lang w:val="fr-FR"/>
        </w:rPr>
      </w:pPr>
      <w:r w:rsidRPr="00335978">
        <w:rPr>
          <w:rStyle w:val="Aucun"/>
          <w:b/>
          <w:sz w:val="20"/>
          <w:szCs w:val="20"/>
          <w:u w:val="single"/>
          <w:lang w:val="fr-FR"/>
        </w:rPr>
        <w:t>Formation et/ou expérience, certificats </w:t>
      </w:r>
      <w:r w:rsidRPr="00335978">
        <w:rPr>
          <w:rStyle w:val="Aucun"/>
          <w:b/>
          <w:bCs/>
          <w:sz w:val="20"/>
          <w:szCs w:val="20"/>
          <w:u w:val="single"/>
          <w:lang w:val="fr-FR"/>
        </w:rPr>
        <w:t>:</w:t>
      </w:r>
    </w:p>
    <w:p w:rsidR="008C1417" w:rsidRPr="00335978" w:rsidRDefault="008C1417" w:rsidP="008C1417">
      <w:pPr>
        <w:pStyle w:val="Corps"/>
        <w:spacing w:after="0" w:line="240" w:lineRule="auto"/>
        <w:rPr>
          <w:rStyle w:val="Aucun"/>
          <w:sz w:val="20"/>
          <w:szCs w:val="20"/>
          <w:lang w:val="fr-FR"/>
        </w:rPr>
      </w:pPr>
    </w:p>
    <w:p w:rsidR="002D2097" w:rsidRDefault="008C1417" w:rsidP="002D2097">
      <w:pPr>
        <w:pStyle w:val="Paragraphedeliste"/>
        <w:numPr>
          <w:ilvl w:val="0"/>
          <w:numId w:val="13"/>
        </w:numPr>
        <w:rPr>
          <w:rFonts w:ascii="Arial" w:hAnsi="Arial" w:cs="Arial"/>
          <w:sz w:val="20"/>
          <w:szCs w:val="20"/>
          <w:lang w:val="fr-FR"/>
        </w:rPr>
      </w:pPr>
      <w:r w:rsidRPr="002D2097">
        <w:rPr>
          <w:rStyle w:val="Aucun"/>
          <w:rFonts w:ascii="Arial" w:hAnsi="Arial" w:cs="Arial"/>
          <w:sz w:val="20"/>
          <w:szCs w:val="20"/>
          <w:lang w:val="fr-FR"/>
        </w:rPr>
        <w:t xml:space="preserve">Un </w:t>
      </w:r>
      <w:r w:rsidR="002D2097" w:rsidRPr="002D2097">
        <w:rPr>
          <w:rFonts w:ascii="Arial" w:hAnsi="Arial" w:cs="Arial"/>
          <w:sz w:val="20"/>
          <w:szCs w:val="20"/>
          <w:lang w:val="fr-FR"/>
        </w:rPr>
        <w:t>Titulaire d'un diplôme en comptabilité, finance, commerce, droit ou dans des domaines connexes</w:t>
      </w:r>
    </w:p>
    <w:p w:rsidR="002D2097" w:rsidRDefault="002D2097" w:rsidP="002D2097">
      <w:pPr>
        <w:pStyle w:val="Paragraphedeliste"/>
        <w:numPr>
          <w:ilvl w:val="0"/>
          <w:numId w:val="13"/>
        </w:numPr>
        <w:rPr>
          <w:rFonts w:ascii="Arial" w:hAnsi="Arial" w:cs="Arial"/>
          <w:sz w:val="20"/>
          <w:szCs w:val="20"/>
          <w:lang w:val="fr-FR"/>
        </w:rPr>
      </w:pPr>
      <w:r w:rsidRPr="002D2097">
        <w:rPr>
          <w:rFonts w:ascii="Arial" w:hAnsi="Arial" w:cs="Arial"/>
          <w:sz w:val="20"/>
          <w:szCs w:val="20"/>
          <w:lang w:val="fr-FR"/>
        </w:rPr>
        <w:t>Solides connaissances des lois, réglementations et pratiques des affaires de la Guinée</w:t>
      </w:r>
    </w:p>
    <w:p w:rsidR="002D2097" w:rsidRDefault="002D2097" w:rsidP="002D2097">
      <w:pPr>
        <w:pStyle w:val="Paragraphedeliste"/>
        <w:numPr>
          <w:ilvl w:val="0"/>
          <w:numId w:val="13"/>
        </w:numPr>
        <w:rPr>
          <w:rFonts w:ascii="Arial" w:hAnsi="Arial" w:cs="Arial"/>
          <w:sz w:val="20"/>
          <w:szCs w:val="20"/>
          <w:lang w:val="fr-FR"/>
        </w:rPr>
      </w:pPr>
      <w:r w:rsidRPr="002D2097">
        <w:rPr>
          <w:rFonts w:ascii="Arial" w:hAnsi="Arial" w:cs="Arial"/>
          <w:sz w:val="20"/>
          <w:szCs w:val="20"/>
          <w:lang w:val="fr-FR"/>
        </w:rPr>
        <w:t>Minimum 7 ans d'expérience dans les fonctions de conformité ou de risque et contrôle dans l'industrie minière</w:t>
      </w:r>
    </w:p>
    <w:p w:rsidR="002D2097" w:rsidRDefault="002D2097" w:rsidP="002D2097">
      <w:pPr>
        <w:pStyle w:val="Paragraphedeliste"/>
        <w:numPr>
          <w:ilvl w:val="0"/>
          <w:numId w:val="13"/>
        </w:numPr>
        <w:rPr>
          <w:rFonts w:ascii="Arial" w:hAnsi="Arial" w:cs="Arial"/>
          <w:sz w:val="20"/>
          <w:szCs w:val="20"/>
          <w:lang w:val="fr-FR"/>
        </w:rPr>
      </w:pPr>
      <w:r w:rsidRPr="002D2097">
        <w:rPr>
          <w:rFonts w:ascii="Arial" w:hAnsi="Arial" w:cs="Arial"/>
          <w:sz w:val="20"/>
          <w:szCs w:val="20"/>
          <w:lang w:val="fr-FR"/>
        </w:rPr>
        <w:t>Solide esprit d'équipe et capable de travailler de manière autonome</w:t>
      </w:r>
    </w:p>
    <w:p w:rsidR="002D2097" w:rsidRDefault="002D2097" w:rsidP="002D2097">
      <w:pPr>
        <w:pStyle w:val="Paragraphedeliste"/>
        <w:numPr>
          <w:ilvl w:val="0"/>
          <w:numId w:val="13"/>
        </w:numPr>
        <w:rPr>
          <w:rFonts w:ascii="Arial" w:hAnsi="Arial" w:cs="Arial"/>
          <w:sz w:val="20"/>
          <w:szCs w:val="20"/>
          <w:lang w:val="fr-FR"/>
        </w:rPr>
      </w:pPr>
      <w:r w:rsidRPr="002D2097">
        <w:rPr>
          <w:rFonts w:ascii="Arial" w:hAnsi="Arial" w:cs="Arial"/>
          <w:sz w:val="20"/>
          <w:szCs w:val="20"/>
          <w:lang w:val="fr-FR"/>
        </w:rPr>
        <w:t>De solides compétences en communication écrite et verbale sont essentielles, y compris une capacité éprouvée à interagir avec les membres de l'équipe senior</w:t>
      </w:r>
    </w:p>
    <w:p w:rsidR="007550CC" w:rsidRPr="002D2097" w:rsidRDefault="002D2097" w:rsidP="002D2097">
      <w:pPr>
        <w:pStyle w:val="Paragraphedeliste"/>
        <w:numPr>
          <w:ilvl w:val="0"/>
          <w:numId w:val="13"/>
        </w:numPr>
        <w:rPr>
          <w:rStyle w:val="Aucun"/>
          <w:rFonts w:ascii="Arial" w:hAnsi="Arial" w:cs="Arial"/>
          <w:sz w:val="20"/>
          <w:szCs w:val="20"/>
          <w:lang w:val="fr-FR"/>
        </w:rPr>
      </w:pPr>
      <w:r w:rsidRPr="002D2097">
        <w:rPr>
          <w:rFonts w:ascii="Arial" w:hAnsi="Arial" w:cs="Arial"/>
          <w:sz w:val="20"/>
          <w:szCs w:val="20"/>
          <w:lang w:val="fr-FR"/>
        </w:rPr>
        <w:t>Maîtrise de l'anglais parlé et écrit</w:t>
      </w:r>
    </w:p>
    <w:p w:rsidR="00EE3AF3" w:rsidRPr="00AA3609" w:rsidRDefault="00EE3AF3" w:rsidP="00EE3AF3">
      <w:pPr>
        <w:jc w:val="both"/>
        <w:textAlignment w:val="baseline"/>
        <w:rPr>
          <w:rFonts w:ascii="Arial" w:eastAsia="Times New Roman" w:hAnsi="Arial" w:cs="Arial"/>
          <w:b/>
          <w:bCs/>
          <w:sz w:val="20"/>
          <w:szCs w:val="20"/>
          <w:u w:val="single"/>
          <w:lang w:val="fr-FR" w:eastAsia="fr-FR"/>
        </w:rPr>
      </w:pPr>
      <w:r w:rsidRPr="00AA3609">
        <w:rPr>
          <w:rFonts w:ascii="Arial" w:eastAsia="Times New Roman" w:hAnsi="Arial" w:cs="Arial"/>
          <w:b/>
          <w:bCs/>
          <w:sz w:val="20"/>
          <w:szCs w:val="20"/>
          <w:u w:val="single"/>
          <w:lang w:val="fr-FR" w:eastAsia="fr-FR"/>
        </w:rPr>
        <w:t xml:space="preserve">Dépôt des </w:t>
      </w:r>
      <w:r w:rsidRPr="00AA3609">
        <w:rPr>
          <w:rFonts w:ascii="Arial" w:eastAsia="Times New Roman" w:hAnsi="Arial" w:cs="Arial"/>
          <w:b/>
          <w:bCs/>
          <w:color w:val="222222"/>
          <w:sz w:val="20"/>
          <w:szCs w:val="20"/>
          <w:u w:val="single"/>
          <w:lang w:val="fr-FR"/>
        </w:rPr>
        <w:t>Candidatures</w:t>
      </w:r>
    </w:p>
    <w:p w:rsidR="00EE3AF3" w:rsidRPr="00AA3609" w:rsidRDefault="00EE3AF3" w:rsidP="00EE3AF3">
      <w:pPr>
        <w:jc w:val="both"/>
        <w:textAlignment w:val="baseline"/>
        <w:rPr>
          <w:rFonts w:ascii="Arial" w:eastAsia="Times New Roman" w:hAnsi="Arial" w:cs="Arial"/>
          <w:b/>
          <w:bCs/>
          <w:sz w:val="20"/>
          <w:szCs w:val="20"/>
          <w:u w:val="single"/>
          <w:lang w:val="fr-FR" w:eastAsia="fr-FR"/>
        </w:rPr>
      </w:pPr>
    </w:p>
    <w:p w:rsidR="00EE3AF3" w:rsidRPr="00EE3AF3" w:rsidRDefault="00EE3AF3" w:rsidP="00EE3AF3">
      <w:pPr>
        <w:jc w:val="both"/>
        <w:textAlignment w:val="baseline"/>
        <w:rPr>
          <w:rFonts w:ascii="Arial" w:eastAsia="Times New Roman" w:hAnsi="Arial" w:cs="Arial"/>
          <w:color w:val="222222"/>
          <w:sz w:val="20"/>
          <w:szCs w:val="20"/>
          <w:lang w:val="fr-FR"/>
        </w:rPr>
      </w:pPr>
      <w:r w:rsidRPr="00AA3609">
        <w:rPr>
          <w:rFonts w:ascii="Arial" w:eastAsia="Times New Roman" w:hAnsi="Arial" w:cs="Arial"/>
          <w:color w:val="222222"/>
          <w:sz w:val="20"/>
          <w:szCs w:val="20"/>
          <w:lang w:val="fr-FR"/>
        </w:rPr>
        <w:t xml:space="preserve">Le dossier de candidature devra comporter un CV, une lettre de motivation manuscrite, les copies des diplômes et de votre pièce d’identité, et au moins deux </w:t>
      </w:r>
      <w:r>
        <w:rPr>
          <w:rFonts w:ascii="Arial" w:eastAsia="Times New Roman" w:hAnsi="Arial" w:cs="Arial"/>
          <w:color w:val="222222"/>
          <w:sz w:val="20"/>
          <w:szCs w:val="20"/>
          <w:lang w:val="fr-FR"/>
        </w:rPr>
        <w:t xml:space="preserve">(2) références professionnelles et déposé </w:t>
      </w:r>
      <w:r w:rsidR="002D2097">
        <w:rPr>
          <w:rFonts w:eastAsia="Times New Roman" w:cstheme="minorHAnsi"/>
          <w:b/>
          <w:bCs/>
          <w:color w:val="222222"/>
          <w:u w:val="single"/>
          <w:lang w:val="fr-FR"/>
        </w:rPr>
        <w:t>au plus tard Mardi 31 Mai</w:t>
      </w:r>
      <w:r>
        <w:rPr>
          <w:rFonts w:eastAsia="Times New Roman" w:cstheme="minorHAnsi"/>
          <w:b/>
          <w:bCs/>
          <w:color w:val="222222"/>
          <w:u w:val="single"/>
          <w:lang w:val="fr-FR"/>
        </w:rPr>
        <w:t xml:space="preserve"> </w:t>
      </w:r>
      <w:r w:rsidRPr="00FF6337">
        <w:rPr>
          <w:rFonts w:eastAsia="Times New Roman" w:cstheme="minorHAnsi"/>
          <w:b/>
          <w:bCs/>
          <w:color w:val="222222"/>
          <w:u w:val="single"/>
          <w:lang w:val="fr-FR"/>
        </w:rPr>
        <w:t>202</w:t>
      </w:r>
      <w:r>
        <w:rPr>
          <w:rFonts w:eastAsia="Times New Roman" w:cstheme="minorHAnsi"/>
          <w:b/>
          <w:bCs/>
          <w:color w:val="222222"/>
          <w:u w:val="single"/>
          <w:lang w:val="fr-FR"/>
        </w:rPr>
        <w:t>2</w:t>
      </w:r>
      <w:r w:rsidRPr="00FF6337">
        <w:rPr>
          <w:rFonts w:eastAsia="Times New Roman" w:cstheme="minorHAnsi"/>
          <w:b/>
          <w:bCs/>
          <w:color w:val="222222"/>
          <w:u w:val="single"/>
          <w:lang w:val="fr-FR"/>
        </w:rPr>
        <w:t xml:space="preserve"> à 17h.</w:t>
      </w:r>
    </w:p>
    <w:p w:rsidR="00EE3AF3" w:rsidRPr="00E441CA" w:rsidRDefault="00EE3AF3" w:rsidP="00EE3AF3">
      <w:pPr>
        <w:pStyle w:val="Corps"/>
        <w:spacing w:after="0" w:line="240" w:lineRule="auto"/>
        <w:rPr>
          <w:lang w:val="fr-FR"/>
        </w:rPr>
      </w:pPr>
    </w:p>
    <w:p w:rsidR="003376E9" w:rsidRPr="00E441CA" w:rsidRDefault="003376E9" w:rsidP="003376E9">
      <w:pPr>
        <w:jc w:val="both"/>
        <w:textAlignment w:val="baseline"/>
        <w:rPr>
          <w:rFonts w:ascii="Arial" w:eastAsia="Times New Roman" w:hAnsi="Arial" w:cs="Arial"/>
          <w:color w:val="222222"/>
          <w:sz w:val="20"/>
          <w:szCs w:val="20"/>
          <w:lang w:val="fr-FR"/>
        </w:rPr>
      </w:pPr>
      <w:r w:rsidRPr="00E441CA">
        <w:rPr>
          <w:rFonts w:ascii="Arial" w:eastAsia="Times New Roman" w:hAnsi="Arial" w:cs="Arial"/>
          <w:color w:val="222222"/>
          <w:sz w:val="20"/>
          <w:szCs w:val="20"/>
          <w:lang w:val="fr-FR"/>
        </w:rPr>
        <w:t>Les dossiers doivent être envoyés en Français et en Anglais par courriel aux adresses suivantes :</w:t>
      </w:r>
    </w:p>
    <w:p w:rsidR="00F926AF" w:rsidRPr="008839C0" w:rsidRDefault="00F926AF" w:rsidP="00F926AF">
      <w:pPr>
        <w:pStyle w:val="Paragraphedeliste"/>
        <w:numPr>
          <w:ilvl w:val="0"/>
          <w:numId w:val="9"/>
        </w:numPr>
        <w:spacing w:after="0" w:line="240" w:lineRule="auto"/>
        <w:jc w:val="both"/>
        <w:textAlignment w:val="baseline"/>
        <w:rPr>
          <w:rFonts w:ascii="Arial" w:eastAsia="Microsoft YaHei UI" w:hAnsi="Arial" w:cs="Arial"/>
          <w:sz w:val="20"/>
          <w:szCs w:val="20"/>
          <w:u w:val="single"/>
          <w:lang w:val="fr-FR"/>
        </w:rPr>
      </w:pPr>
      <w:r w:rsidRPr="008839C0">
        <w:rPr>
          <w:rStyle w:val="Lienhypertexte"/>
          <w:rFonts w:ascii="Arial" w:eastAsia="Microsoft YaHei UI" w:hAnsi="Arial" w:cs="Arial"/>
          <w:sz w:val="20"/>
          <w:szCs w:val="20"/>
          <w:lang w:val="fr-FR"/>
        </w:rPr>
        <w:t>alpha.oc@wcsglobal.com</w:t>
      </w:r>
    </w:p>
    <w:p w:rsidR="003376E9" w:rsidRPr="00F926AF" w:rsidRDefault="006F1F54" w:rsidP="00F926AF">
      <w:pPr>
        <w:pStyle w:val="Paragraphedeliste"/>
        <w:numPr>
          <w:ilvl w:val="0"/>
          <w:numId w:val="9"/>
        </w:numPr>
        <w:spacing w:after="0" w:line="240" w:lineRule="auto"/>
        <w:jc w:val="both"/>
        <w:textAlignment w:val="baseline"/>
        <w:rPr>
          <w:rStyle w:val="Lienhypertexte"/>
          <w:rFonts w:ascii="Arial" w:eastAsia="Microsoft YaHei UI" w:hAnsi="Arial" w:cs="Arial"/>
          <w:sz w:val="20"/>
          <w:szCs w:val="20"/>
          <w:lang w:val="fr-FR"/>
        </w:rPr>
      </w:pPr>
      <w:hyperlink r:id="rId8" w:history="1">
        <w:r w:rsidR="00F926AF" w:rsidRPr="007500A7">
          <w:rPr>
            <w:rStyle w:val="Lienhypertexte"/>
            <w:rFonts w:ascii="Arial" w:hAnsi="Arial" w:cs="Arial" w:hint="eastAsia"/>
            <w:sz w:val="20"/>
            <w:szCs w:val="20"/>
            <w:lang w:val="fr-FR"/>
          </w:rPr>
          <w:t>duyuhan@winningafrica.net</w:t>
        </w:r>
      </w:hyperlink>
      <w:r w:rsidR="00F926AF">
        <w:rPr>
          <w:rFonts w:ascii="Arial" w:hAnsi="Arial" w:cs="Arial"/>
          <w:sz w:val="20"/>
          <w:szCs w:val="20"/>
          <w:lang w:val="fr-FR"/>
        </w:rPr>
        <w:t xml:space="preserve"> </w:t>
      </w:r>
    </w:p>
    <w:p w:rsidR="003376E9" w:rsidRPr="008839C0" w:rsidRDefault="003376E9" w:rsidP="00F926AF">
      <w:pPr>
        <w:pStyle w:val="Paragraphedeliste"/>
        <w:spacing w:after="0" w:line="240" w:lineRule="auto"/>
        <w:jc w:val="both"/>
        <w:textAlignment w:val="baseline"/>
        <w:rPr>
          <w:rFonts w:ascii="Arial" w:eastAsia="Microsoft YaHei UI" w:hAnsi="Arial" w:cs="Arial"/>
          <w:sz w:val="20"/>
          <w:szCs w:val="20"/>
          <w:u w:val="single"/>
          <w:lang w:val="fr-FR"/>
        </w:rPr>
      </w:pPr>
    </w:p>
    <w:p w:rsidR="003376E9" w:rsidRPr="00E441CA" w:rsidRDefault="003376E9" w:rsidP="003376E9">
      <w:pPr>
        <w:pStyle w:val="Corps"/>
        <w:spacing w:after="0" w:line="240" w:lineRule="auto"/>
        <w:rPr>
          <w:rFonts w:cs="Arial"/>
          <w:sz w:val="20"/>
          <w:szCs w:val="20"/>
          <w:lang w:val="fr-FR"/>
        </w:rPr>
      </w:pPr>
    </w:p>
    <w:p w:rsidR="003376E9" w:rsidRPr="003376E9" w:rsidRDefault="003376E9" w:rsidP="003376E9">
      <w:pPr>
        <w:pStyle w:val="Corps"/>
        <w:spacing w:after="0" w:line="240" w:lineRule="auto"/>
        <w:rPr>
          <w:lang w:val="fr-FR"/>
        </w:rPr>
      </w:pPr>
      <w:bookmarkStart w:id="0" w:name="_GoBack"/>
      <w:bookmarkEnd w:id="0"/>
    </w:p>
    <w:sectPr w:rsidR="003376E9" w:rsidRPr="003376E9">
      <w:headerReference w:type="default" r:id="rId9"/>
      <w:footerReference w:type="default" r:id="rId10"/>
      <w:pgSz w:w="11900" w:h="16840"/>
      <w:pgMar w:top="1440" w:right="1080" w:bottom="1440" w:left="1080" w:header="70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F54" w:rsidRDefault="006F1F54">
      <w:r>
        <w:separator/>
      </w:r>
    </w:p>
  </w:endnote>
  <w:endnote w:type="continuationSeparator" w:id="0">
    <w:p w:rsidR="006F1F54" w:rsidRDefault="006F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7" w:rsidRDefault="00743155">
    <w:pPr>
      <w:pStyle w:val="Pieddepage"/>
      <w:tabs>
        <w:tab w:val="clear" w:pos="9026"/>
        <w:tab w:val="right" w:pos="9720"/>
      </w:tabs>
    </w:pPr>
    <w:r>
      <w:rPr>
        <w:rStyle w:val="Aucun"/>
        <w:sz w:val="16"/>
        <w:szCs w:val="16"/>
      </w:rPr>
      <w:t xml:space="preserve">Page </w:t>
    </w:r>
    <w:r>
      <w:rPr>
        <w:rStyle w:val="Aucun"/>
        <w:sz w:val="16"/>
        <w:szCs w:val="16"/>
      </w:rPr>
      <w:fldChar w:fldCharType="begin"/>
    </w:r>
    <w:r>
      <w:rPr>
        <w:rStyle w:val="Aucun"/>
        <w:sz w:val="16"/>
        <w:szCs w:val="16"/>
      </w:rPr>
      <w:instrText xml:space="preserve"> PAGE </w:instrText>
    </w:r>
    <w:r>
      <w:rPr>
        <w:rStyle w:val="Aucun"/>
        <w:sz w:val="16"/>
        <w:szCs w:val="16"/>
      </w:rPr>
      <w:fldChar w:fldCharType="separate"/>
    </w:r>
    <w:r w:rsidR="00F926AF">
      <w:rPr>
        <w:rStyle w:val="Aucun"/>
        <w:noProof/>
        <w:sz w:val="16"/>
        <w:szCs w:val="16"/>
      </w:rPr>
      <w:t>1</w:t>
    </w:r>
    <w:r>
      <w:rPr>
        <w:rStyle w:val="Aucun"/>
        <w:sz w:val="16"/>
        <w:szCs w:val="16"/>
      </w:rPr>
      <w:fldChar w:fldCharType="end"/>
    </w:r>
    <w:r>
      <w:rPr>
        <w:rStyle w:val="Aucun"/>
        <w:sz w:val="16"/>
        <w:szCs w:val="16"/>
      </w:rPr>
      <w:t xml:space="preserve"> of </w:t>
    </w:r>
    <w:r>
      <w:rPr>
        <w:rStyle w:val="Aucun"/>
        <w:sz w:val="16"/>
        <w:szCs w:val="16"/>
      </w:rPr>
      <w:fldChar w:fldCharType="begin"/>
    </w:r>
    <w:r>
      <w:rPr>
        <w:rStyle w:val="Aucun"/>
        <w:sz w:val="16"/>
        <w:szCs w:val="16"/>
      </w:rPr>
      <w:instrText xml:space="preserve"> NUMPAGES </w:instrText>
    </w:r>
    <w:r>
      <w:rPr>
        <w:rStyle w:val="Aucun"/>
        <w:sz w:val="16"/>
        <w:szCs w:val="16"/>
      </w:rPr>
      <w:fldChar w:fldCharType="separate"/>
    </w:r>
    <w:r w:rsidR="00F926AF">
      <w:rPr>
        <w:rStyle w:val="Aucun"/>
        <w:noProof/>
        <w:sz w:val="16"/>
        <w:szCs w:val="16"/>
      </w:rPr>
      <w:t>2</w:t>
    </w:r>
    <w:r>
      <w:rPr>
        <w:rStyle w:val="Aucun"/>
        <w:sz w:val="16"/>
        <w:szCs w:val="16"/>
      </w:rPr>
      <w:fldChar w:fldCharType="end"/>
    </w:r>
    <w:r>
      <w:rPr>
        <w:rStyle w:val="Aucun"/>
        <w:sz w:val="16"/>
        <w:szCs w:val="16"/>
      </w:rPr>
      <w:tab/>
    </w:r>
    <w:r>
      <w:rPr>
        <w:rStyle w:val="Aucun"/>
        <w:sz w:val="16"/>
        <w:szCs w:val="16"/>
      </w:rPr>
      <w:tab/>
      <w:t>Job Description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F54" w:rsidRDefault="006F1F54">
      <w:r>
        <w:separator/>
      </w:r>
    </w:p>
  </w:footnote>
  <w:footnote w:type="continuationSeparator" w:id="0">
    <w:p w:rsidR="006F1F54" w:rsidRDefault="006F1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487" w:rsidRDefault="004913D2" w:rsidP="004913D2">
    <w:pPr>
      <w:pStyle w:val="Corps"/>
      <w:tabs>
        <w:tab w:val="left" w:pos="3684"/>
        <w:tab w:val="center" w:pos="4703"/>
        <w:tab w:val="center" w:pos="4870"/>
        <w:tab w:val="right" w:pos="9406"/>
      </w:tabs>
      <w:spacing w:after="0" w:line="240" w:lineRule="auto"/>
      <w:rPr>
        <w:rStyle w:val="Aucun"/>
        <w:rFonts w:ascii="Times New Roman" w:hAnsi="Times New Roman"/>
        <w:sz w:val="24"/>
        <w:szCs w:val="24"/>
      </w:rPr>
    </w:pPr>
    <w:r>
      <w:rPr>
        <w:rStyle w:val="Aucun"/>
        <w:rFonts w:ascii="Times New Roman" w:hAnsi="Times New Roman"/>
        <w:sz w:val="24"/>
        <w:szCs w:val="24"/>
      </w:rPr>
      <w:tab/>
    </w:r>
    <w:r>
      <w:rPr>
        <w:rStyle w:val="Aucun"/>
        <w:rFonts w:ascii="Times New Roman" w:hAnsi="Times New Roman"/>
        <w:sz w:val="24"/>
        <w:szCs w:val="24"/>
      </w:rPr>
      <w:tab/>
    </w:r>
    <w:r w:rsidR="00743155">
      <w:rPr>
        <w:rStyle w:val="Aucun"/>
        <w:rFonts w:ascii="Times New Roman" w:hAnsi="Times New Roman"/>
        <w:noProof/>
        <w:sz w:val="24"/>
        <w:szCs w:val="24"/>
        <w:lang w:val="fr-FR" w:eastAsia="fr-FR"/>
      </w:rPr>
      <w:drawing>
        <wp:inline distT="0" distB="0" distL="0" distR="0">
          <wp:extent cx="895985" cy="65532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896473" cy="655677"/>
                  </a:xfrm>
                  <a:prstGeom prst="rect">
                    <a:avLst/>
                  </a:prstGeom>
                  <a:ln w="12700" cap="flat">
                    <a:noFill/>
                    <a:miter lim="400000"/>
                  </a:ln>
                  <a:effectLst/>
                </pic:spPr>
              </pic:pic>
            </a:graphicData>
          </a:graphic>
        </wp:inline>
      </w:drawing>
    </w:r>
  </w:p>
  <w:p w:rsidR="00F15487" w:rsidRDefault="00F15487">
    <w:pPr>
      <w:pStyle w:val="Corps"/>
      <w:tabs>
        <w:tab w:val="center" w:pos="4703"/>
        <w:tab w:val="right" w:pos="9406"/>
      </w:tabs>
      <w:spacing w:after="0" w:line="240" w:lineRule="auto"/>
      <w:jc w:val="center"/>
      <w:rPr>
        <w:rStyle w:val="Aucun"/>
        <w:sz w:val="17"/>
        <w:szCs w:val="17"/>
      </w:rPr>
    </w:pPr>
  </w:p>
  <w:p w:rsidR="00F15487" w:rsidRDefault="00743155">
    <w:pPr>
      <w:pStyle w:val="En-tte"/>
      <w:jc w:val="center"/>
    </w:pPr>
    <w:r>
      <w:rPr>
        <w:rStyle w:val="Aucun"/>
        <w:b/>
        <w:bCs/>
        <w:sz w:val="24"/>
        <w:szCs w:val="24"/>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279"/>
    <w:multiLevelType w:val="hybridMultilevel"/>
    <w:tmpl w:val="9C3AF904"/>
    <w:styleLink w:val="Style4import"/>
    <w:lvl w:ilvl="0" w:tplc="C08067B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161D5E">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D2323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B26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A41A7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743DC0">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20A26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52B10A">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4C61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A942F7"/>
    <w:multiLevelType w:val="hybridMultilevel"/>
    <w:tmpl w:val="8D9AEE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1F4409"/>
    <w:multiLevelType w:val="hybridMultilevel"/>
    <w:tmpl w:val="9C3AF904"/>
    <w:numStyleLink w:val="Style4import"/>
  </w:abstractNum>
  <w:abstractNum w:abstractNumId="3" w15:restartNumberingAfterBreak="0">
    <w:nsid w:val="188E2A7B"/>
    <w:multiLevelType w:val="hybridMultilevel"/>
    <w:tmpl w:val="95660EEA"/>
    <w:numStyleLink w:val="Puces"/>
  </w:abstractNum>
  <w:abstractNum w:abstractNumId="4" w15:restartNumberingAfterBreak="0">
    <w:nsid w:val="1A7528B8"/>
    <w:multiLevelType w:val="hybridMultilevel"/>
    <w:tmpl w:val="95660EEA"/>
    <w:styleLink w:val="Puces"/>
    <w:lvl w:ilvl="0" w:tplc="8AC422B8">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E2C6A64">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E5B4D674">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C7E8CBDA">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F352335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44FA9060">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412B06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53E85E4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E0E4D20">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927FF7"/>
    <w:multiLevelType w:val="hybridMultilevel"/>
    <w:tmpl w:val="128C0AD6"/>
    <w:numStyleLink w:val="Style2import"/>
  </w:abstractNum>
  <w:abstractNum w:abstractNumId="6" w15:restartNumberingAfterBreak="0">
    <w:nsid w:val="42DC3E4B"/>
    <w:multiLevelType w:val="hybridMultilevel"/>
    <w:tmpl w:val="E4FAE3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0C71B09"/>
    <w:multiLevelType w:val="hybridMultilevel"/>
    <w:tmpl w:val="A358D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DA10E1"/>
    <w:multiLevelType w:val="hybridMultilevel"/>
    <w:tmpl w:val="61B61086"/>
    <w:numStyleLink w:val="Style3import"/>
  </w:abstractNum>
  <w:abstractNum w:abstractNumId="9" w15:restartNumberingAfterBreak="0">
    <w:nsid w:val="5B0B0214"/>
    <w:multiLevelType w:val="hybridMultilevel"/>
    <w:tmpl w:val="61B61086"/>
    <w:numStyleLink w:val="Style3import"/>
  </w:abstractNum>
  <w:abstractNum w:abstractNumId="10" w15:restartNumberingAfterBreak="0">
    <w:nsid w:val="613328D5"/>
    <w:multiLevelType w:val="hybridMultilevel"/>
    <w:tmpl w:val="61B61086"/>
    <w:styleLink w:val="Style3import"/>
    <w:lvl w:ilvl="0" w:tplc="3D787DF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EB958">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68BED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CA6FD6">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C4A26E">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04E4A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E08FFC">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5A6FB6">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4255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4A609E5"/>
    <w:multiLevelType w:val="hybridMultilevel"/>
    <w:tmpl w:val="77402F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9FD3582"/>
    <w:multiLevelType w:val="hybridMultilevel"/>
    <w:tmpl w:val="128C0AD6"/>
    <w:styleLink w:val="Style2import"/>
    <w:lvl w:ilvl="0" w:tplc="EDD2532E">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A8929C">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22AB0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CABE8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5E0FA2">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DEDFE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60923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6A3D52">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2E7ACE">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2"/>
  </w:num>
  <w:num w:numId="4">
    <w:abstractNumId w:val="5"/>
  </w:num>
  <w:num w:numId="5">
    <w:abstractNumId w:val="10"/>
  </w:num>
  <w:num w:numId="6">
    <w:abstractNumId w:val="8"/>
  </w:num>
  <w:num w:numId="7">
    <w:abstractNumId w:val="0"/>
  </w:num>
  <w:num w:numId="8">
    <w:abstractNumId w:val="2"/>
  </w:num>
  <w:num w:numId="9">
    <w:abstractNumId w:val="7"/>
  </w:num>
  <w:num w:numId="10">
    <w:abstractNumId w:val="11"/>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87"/>
    <w:rsid w:val="001D34C6"/>
    <w:rsid w:val="002D2097"/>
    <w:rsid w:val="003376E9"/>
    <w:rsid w:val="003C2D98"/>
    <w:rsid w:val="004913D2"/>
    <w:rsid w:val="004B23B4"/>
    <w:rsid w:val="005F574C"/>
    <w:rsid w:val="006F1F54"/>
    <w:rsid w:val="0073214F"/>
    <w:rsid w:val="00743155"/>
    <w:rsid w:val="007550CC"/>
    <w:rsid w:val="00774D4B"/>
    <w:rsid w:val="00784ECE"/>
    <w:rsid w:val="008533BA"/>
    <w:rsid w:val="008839C0"/>
    <w:rsid w:val="008B5568"/>
    <w:rsid w:val="008C1417"/>
    <w:rsid w:val="008C2E3E"/>
    <w:rsid w:val="00BE6A25"/>
    <w:rsid w:val="00DC6302"/>
    <w:rsid w:val="00E441CA"/>
    <w:rsid w:val="00E913E9"/>
    <w:rsid w:val="00EE3AF3"/>
    <w:rsid w:val="00F15487"/>
    <w:rsid w:val="00F92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21FD6-744B-4DC0-BBDE-0DCB0023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60" w:line="259"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Aucun">
    <w:name w:val="Aucun"/>
  </w:style>
  <w:style w:type="paragraph" w:styleId="En-tte">
    <w:name w:val="header"/>
    <w:pPr>
      <w:tabs>
        <w:tab w:val="center" w:pos="4513"/>
        <w:tab w:val="right" w:pos="9026"/>
      </w:tabs>
    </w:pPr>
    <w:rPr>
      <w:rFonts w:ascii="Arial" w:hAnsi="Arial" w:cs="Arial Unicode MS"/>
      <w:color w:val="000000"/>
      <w:sz w:val="22"/>
      <w:szCs w:val="22"/>
      <w:u w:color="000000"/>
    </w:rPr>
  </w:style>
  <w:style w:type="paragraph" w:styleId="Pieddepage">
    <w:name w:val="footer"/>
    <w:pPr>
      <w:tabs>
        <w:tab w:val="center" w:pos="4513"/>
        <w:tab w:val="right" w:pos="9026"/>
      </w:tabs>
    </w:pPr>
    <w:rPr>
      <w:rFonts w:ascii="Arial" w:hAnsi="Arial" w:cs="Arial Unicode MS"/>
      <w:color w:val="000000"/>
      <w:sz w:val="22"/>
      <w:szCs w:val="22"/>
      <w:u w:color="000000"/>
    </w:rPr>
  </w:style>
  <w:style w:type="numbering" w:customStyle="1" w:styleId="Puces">
    <w:name w:val="Puces"/>
    <w:pPr>
      <w:numPr>
        <w:numId w:val="1"/>
      </w:numPr>
    </w:pPr>
  </w:style>
  <w:style w:type="numbering" w:customStyle="1" w:styleId="Style2import">
    <w:name w:val="Style 2 importé"/>
    <w:pPr>
      <w:numPr>
        <w:numId w:val="3"/>
      </w:numPr>
    </w:pPr>
  </w:style>
  <w:style w:type="numbering" w:customStyle="1" w:styleId="Style3import">
    <w:name w:val="Style 3 importé"/>
    <w:pPr>
      <w:numPr>
        <w:numId w:val="5"/>
      </w:numPr>
    </w:pPr>
  </w:style>
  <w:style w:type="numbering" w:customStyle="1" w:styleId="Style4import">
    <w:name w:val="Style 4 importé"/>
    <w:pPr>
      <w:numPr>
        <w:numId w:val="7"/>
      </w:numPr>
    </w:pPr>
  </w:style>
  <w:style w:type="paragraph" w:styleId="Paragraphedeliste">
    <w:name w:val="List Paragraph"/>
    <w:basedOn w:val="Normal"/>
    <w:uiPriority w:val="34"/>
    <w:qFormat/>
    <w:rsid w:val="003376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EastAsia" w:hAnsiTheme="minorHAnsi" w:cstheme="minorBidi"/>
      <w:sz w:val="22"/>
      <w:szCs w:val="22"/>
      <w:bdr w:val="none" w:sz="0" w:space="0" w:color="auto"/>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uyuhan@winningafric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09933"/>
      </a:accent1>
      <a:accent2>
        <a:srgbClr val="0070C0"/>
      </a:accent2>
      <a:accent3>
        <a:srgbClr val="C00000"/>
      </a:accent3>
      <a:accent4>
        <a:srgbClr val="FFC000"/>
      </a:accent4>
      <a:accent5>
        <a:srgbClr val="7F7F7F"/>
      </a:accent5>
      <a:accent6>
        <a:srgbClr val="3A3838"/>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61D4-89B4-455B-8A78-81DAEC82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 WURI</dc:creator>
  <cp:lastModifiedBy>HP</cp:lastModifiedBy>
  <cp:revision>2</cp:revision>
  <dcterms:created xsi:type="dcterms:W3CDTF">2022-05-16T14:34:00Z</dcterms:created>
  <dcterms:modified xsi:type="dcterms:W3CDTF">2022-05-16T14:34:00Z</dcterms:modified>
</cp:coreProperties>
</file>